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NXT SCHOOL · INSPIRATION TEARDOWN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DIC — Dečiji Inovacioni Centar: what they do well, what NXT takes</w:t>
      </w:r>
    </w:p>
    <w:p>
      <w:pPr>
        <w:spacing w:after="80" w:before="0" w:line="212"/>
      </w:pPr>
      <w:r>
        <w:rPr>
          <w:rFonts w:ascii="Arial" w:cs="Arial" w:eastAsia="Arial" w:hAnsi="Arial"/>
          <w:color w:val="475569"/>
          <w:sz w:val="14"/>
          <w:szCs w:val="14"/>
        </w:rPr>
        <w:t xml:space="preserve">Sources: dic.rs (pages + tech stack) and the Meta Ad Library (both DIC pages, Serbia, 1 Sep – 5 Oct 2026). Ad titles, dates and pages are visible; ad text and visuals are not reachable from here, so retargeting mechanics are </w:t>
      </w:r>
      <w:r>
        <w:rPr>
          <w:rFonts w:ascii="Arial" w:cs="Arial" w:eastAsia="Arial" w:hAnsi="Arial"/>
          <w:b/>
          <w:bCs/>
          <w:color w:val="475569"/>
          <w:sz w:val="14"/>
          <w:szCs w:val="14"/>
        </w:rPr>
        <w:t xml:space="preserve">inferred from their site setup</w:t>
      </w:r>
      <w:r>
        <w:rPr>
          <w:rFonts w:ascii="Arial" w:cs="Arial" w:eastAsia="Arial" w:hAnsi="Arial"/>
          <w:color w:val="475569"/>
          <w:sz w:val="14"/>
          <w:szCs w:val="14"/>
        </w:rPr>
        <w:t xml:space="preserve">.</w:t>
      </w:r>
    </w:p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6"/>
        <w:gridCol w:w="2676"/>
        <w:gridCol w:w="2676"/>
        <w:gridCol w:w="2676"/>
      </w:tblGrid>
      <w:tr>
        <w:tc>
          <w:tcPr>
            <w:tcW w:type="dxa" w:w="2676"/>
            <w:tcBorders>
              <w:top w:val="none" w:color="FFFFFF" w:sz="0"/>
              <w:left w:val="single" w:color="E08A00" w:sz="18"/>
              <w:bottom w:val="none" w:color="FFFFFF" w:sz="0"/>
              <w:right w:val="single" w:color="FFFFFF" w:sz="20"/>
            </w:tcBorders>
            <w:shd w:fill="FFF7F0" w:color="auto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pPr>
              <w:spacing w:after="15" w:before="0" w:line="212"/>
            </w:pPr>
            <w:r>
              <w:rPr>
                <w:rFonts w:ascii="Arial" w:cs="Arial" w:eastAsia="Arial" w:hAnsi="Arial"/>
                <w:b/>
                <w:bCs/>
                <w:color w:val="E08A00"/>
                <w:sz w:val="12"/>
                <w:szCs w:val="12"/>
              </w:rPr>
              <w:t xml:space="preserve">WHO</w:t>
            </w:r>
          </w:p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STEAM: LEGO robotics, coding, 3D, electronics · ages 3–16 · 6 centres, incl.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Novi Sad (Laze Kostića 10)</w:t>
            </w:r>
          </w:p>
        </w:tc>
        <w:tc>
          <w:tcPr>
            <w:tcW w:type="dxa" w:w="2676"/>
            <w:tcBorders>
              <w:top w:val="none" w:color="FFFFFF" w:sz="0"/>
              <w:left w:val="single" w:color="E08A00" w:sz="18"/>
              <w:bottom w:val="none" w:color="FFFFFF" w:sz="0"/>
              <w:right w:val="single" w:color="FFFFFF" w:sz="20"/>
            </w:tcBorders>
            <w:shd w:fill="FFF7F0" w:color="auto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pPr>
              <w:spacing w:after="15" w:before="0" w:line="212"/>
            </w:pPr>
            <w:r>
              <w:rPr>
                <w:rFonts w:ascii="Arial" w:cs="Arial" w:eastAsia="Arial" w:hAnsi="Arial"/>
                <w:b/>
                <w:bCs/>
                <w:color w:val="E08A00"/>
                <w:sz w:val="12"/>
                <w:szCs w:val="12"/>
              </w:rPr>
              <w:t xml:space="preserve">PROOF ON SITE</w:t>
            </w:r>
          </w:p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4,210+ students · 82 Google reviews widget · kids’ quotes · Bosch, ETF, WRO competitions</w:t>
            </w:r>
          </w:p>
        </w:tc>
        <w:tc>
          <w:tcPr>
            <w:tcW w:type="dxa" w:w="2676"/>
            <w:tcBorders>
              <w:top w:val="none" w:color="FFFFFF" w:sz="0"/>
              <w:left w:val="single" w:color="E08A00" w:sz="18"/>
              <w:bottom w:val="none" w:color="FFFFFF" w:sz="0"/>
              <w:right w:val="single" w:color="FFFFFF" w:sz="20"/>
            </w:tcBorders>
            <w:shd w:fill="FFF7F0" w:color="auto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pPr>
              <w:spacing w:after="15" w:before="0" w:line="212"/>
            </w:pPr>
            <w:r>
              <w:rPr>
                <w:rFonts w:ascii="Arial" w:cs="Arial" w:eastAsia="Arial" w:hAnsi="Arial"/>
                <w:b/>
                <w:bCs/>
                <w:color w:val="E08A00"/>
                <w:sz w:val="12"/>
                <w:szCs w:val="12"/>
              </w:rPr>
              <w:t xml:space="preserve">PRODUCTS</w:t>
            </w:r>
          </w:p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Academy (3 tiers × levels) · new 15-week courses · workshops 3,000 RSD · parent-child 1,200 RSD · birthdays · camps</w:t>
            </w:r>
          </w:p>
        </w:tc>
        <w:tc>
          <w:tcPr>
            <w:tcW w:type="dxa" w:w="2676"/>
            <w:tcBorders>
              <w:top w:val="none" w:color="FFFFFF" w:sz="0"/>
              <w:left w:val="single" w:color="E08A00" w:sz="18"/>
              <w:bottom w:val="none" w:color="FFFFFF" w:sz="0"/>
              <w:right w:val="single" w:color="FFFFFF" w:sz="20"/>
            </w:tcBorders>
            <w:shd w:fill="FFF7F0" w:color="auto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pPr>
              <w:spacing w:after="15" w:before="0" w:line="212"/>
            </w:pPr>
            <w:r>
              <w:rPr>
                <w:rFonts w:ascii="Arial" w:cs="Arial" w:eastAsia="Arial" w:hAnsi="Arial"/>
                <w:b/>
                <w:bCs/>
                <w:color w:val="E08A00"/>
                <w:sz w:val="12"/>
                <w:szCs w:val="12"/>
              </w:rPr>
              <w:t xml:space="preserve">META RIGHT NOW</w:t>
            </w:r>
          </w:p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~26 ads in 5 weeks · 2 pages (main + "DIC Novi Sad") · 2 ad accounts · new batch every ~2 weeks</w:t>
            </w:r>
          </w:p>
        </w:tc>
      </w:tr>
    </w:tbl>
    <w:p>
      <w:pPr>
        <w:keepNext/>
        <w:spacing w:after="45" w:before="110"/>
      </w:pPr>
      <w:r>
        <w:rPr>
          <w:rFonts w:ascii="Arial" w:cs="Arial" w:eastAsia="Arial" w:hAnsi="Arial"/>
          <w:b/>
          <w:bCs/>
          <w:color w:val="E08A00"/>
          <w:sz w:val="19"/>
          <w:szCs w:val="19"/>
        </w:rPr>
        <w:t xml:space="preserve">1  </w:t>
      </w: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What they run on Meta (Ad Library, newest last)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600"/>
        <w:gridCol w:w="2806"/>
      </w:tblGrid>
      <w:tr>
        <w:trPr>
          <w:tblHeader/>
        </w:trPr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 title(s)</w:t>
            </w:r>
          </w:p>
        </w:tc>
        <w:tc>
          <w:tcPr>
            <w:tcW w:type="dxa" w:w="28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Product · geo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1 Sep</w:t>
            </w:r>
          </w:p>
        </w:tc>
        <w:tc>
          <w:tcPr>
            <w:tcW w:type="dxa" w:w="6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"Zakažite LEGO rođendan" + 2 untitled (video/IG)</w:t>
            </w:r>
          </w:p>
        </w:tc>
        <w:tc>
          <w:tcPr>
            <w:tcW w:type="dxa" w:w="28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Birthdays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11–12 Sep</w:t>
            </w:r>
          </w:p>
        </w:tc>
        <w:tc>
          <w:tcPr>
            <w:tcW w:type="dxa" w:w="6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"Upis na Akademiju DIC je u toku" · BIG Novi Sad (mall’s own page): "Dani LEGO robotike, 19–20. sep"</w:t>
            </w:r>
          </w:p>
        </w:tc>
        <w:tc>
          <w:tcPr>
            <w:tcW w:type="dxa" w:w="28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Academy · mall event in Novi Sad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17–18 Sep</w:t>
            </w:r>
          </w:p>
        </w:tc>
        <w:tc>
          <w:tcPr>
            <w:tcW w:type="dxa" w:w="6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"LEGO rođendani u Novom Sadu" (5 variants, both pages) · "Prijavi se!" (second ad account)</w:t>
            </w:r>
          </w:p>
        </w:tc>
        <w:tc>
          <w:tcPr>
            <w:tcW w:type="dxa" w:w="28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Birthdays NS · sign-up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30 Sep – 2 Oct</w:t>
            </w:r>
          </w:p>
        </w:tc>
        <w:tc>
          <w:tcPr>
            <w:tcW w:type="dxa" w:w="6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"Robotika, programiranje, 3D i elektronika" · "Prijavite dete na Akademiju DIC-a" · "Zakažite LEGO rođendan"</w:t>
            </w:r>
          </w:p>
        </w:tc>
        <w:tc>
          <w:tcPr>
            <w:tcW w:type="dxa" w:w="28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Academy push + birthdays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3–5 Oct</w:t>
            </w:r>
          </w:p>
        </w:tc>
        <w:tc>
          <w:tcPr>
            <w:tcW w:type="dxa" w:w="6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"3D modelovanje i štampa" (Beograd + Novi Sad) · "Kurs elektronike za decu u Novom Sadu" · "Elektronika kroz praktičan rad"</w:t>
            </w:r>
          </w:p>
        </w:tc>
        <w:tc>
          <w:tcPr>
            <w:tcW w:type="dxa" w:w="28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New 15-week courses, per city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Oct 2025</w:t>
            </w:r>
          </w:p>
        </w:tc>
        <w:tc>
          <w:tcPr>
            <w:tcW w:type="dxa" w:w="6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"{{product.name}}"</w:t>
            </w:r>
          </w:p>
        </w:tc>
        <w:tc>
          <w:tcPr>
            <w:tcW w:type="dxa" w:w="28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Catalog (dynamic) ad</w:t>
            </w:r>
          </w:p>
        </w:tc>
      </w:tr>
    </w:tbl>
    <w:p>
      <w:pPr>
        <w:spacing w:after="0" w:before="40" w:line="212"/>
      </w:pPr>
      <w:r>
        <w:rPr>
          <w:rFonts w:ascii="Arial" w:cs="Arial" w:eastAsia="Arial" w:hAnsi="Arial"/>
          <w:b/>
          <w:bCs/>
          <w:color w:val="1E293B"/>
          <w:sz w:val="13"/>
          <w:szCs w:val="13"/>
        </w:rPr>
        <w:t xml:space="preserve">Read:</w:t>
      </w:r>
      <w:r>
        <w:rPr>
          <w:rFonts w:ascii="Arial" w:cs="Arial" w:eastAsia="Arial" w:hAnsi="Arial"/>
          <w:color w:val="1E293B"/>
          <w:sz w:val="13"/>
          <w:szCs w:val="13"/>
        </w:rPr>
        <w:t xml:space="preserve"> always-on across 3 revenue lines at once, the city in every headline, product-led titles, a fresh batch every ~2 weeks — and they are pushing enrolment in </w:t>
      </w:r>
      <w:r>
        <w:rPr>
          <w:rFonts w:ascii="Arial" w:cs="Arial" w:eastAsia="Arial" w:hAnsi="Arial"/>
          <w:b/>
          <w:bCs/>
          <w:color w:val="1E293B"/>
          <w:sz w:val="13"/>
          <w:szCs w:val="13"/>
        </w:rPr>
        <w:t xml:space="preserve">Novi Sad this week</w:t>
      </w:r>
      <w:r>
        <w:rPr>
          <w:rFonts w:ascii="Arial" w:cs="Arial" w:eastAsia="Arial" w:hAnsi="Arial"/>
          <w:color w:val="1E293B"/>
          <w:sz w:val="13"/>
          <w:szCs w:val="13"/>
        </w:rPr>
        <w:t xml:space="preserve">, to the same parents we target.</w:t>
      </w:r>
    </w:p>
    <w:p>
      <w:pPr>
        <w:keepNext/>
        <w:spacing w:after="45" w:before="110"/>
      </w:pPr>
      <w:r>
        <w:rPr>
          <w:rFonts w:ascii="Arial" w:cs="Arial" w:eastAsia="Arial" w:hAnsi="Arial"/>
          <w:b/>
          <w:bCs/>
          <w:color w:val="E08A00"/>
          <w:sz w:val="19"/>
          <w:szCs w:val="19"/>
        </w:rPr>
        <w:t xml:space="preserve">2  </w:t>
      </w: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Why their retargeting works (inferred from dic.rs)</w:t>
      </w:r>
    </w:p>
    <w:p>
      <w:pPr>
        <w:pStyle w:val="ListParagraph"/>
        <w:numPr>
          <w:ilvl w:val="0"/>
          <w:numId w:val="2"/>
        </w:numPr>
        <w:spacing w:after="15" w:before="0" w:line="212"/>
      </w:pPr>
      <w:r>
        <w:rPr>
          <w:rFonts w:ascii="Arial" w:cs="Arial" w:eastAsia="Arial" w:hAnsi="Arial"/>
          <w:b/>
          <w:bCs/>
          <w:color w:val="1E293B"/>
          <w:sz w:val="13"/>
          <w:szCs w:val="13"/>
        </w:rPr>
        <w:t xml:space="preserve">Many cheap entry doors:</w:t>
      </w:r>
      <w:r>
        <w:rPr>
          <w:rFonts w:ascii="Arial" w:cs="Arial" w:eastAsia="Arial" w:hAnsi="Arial"/>
          <w:color w:val="1E293B"/>
          <w:sz w:val="13"/>
          <w:szCs w:val="13"/>
        </w:rPr>
        <w:t xml:space="preserve"> birthdays, 3,000 RSD themed workshops (Minecraft, Pokémon, Brawl Stars…), 1,200 RSD parent-child sessions, camps → every visitor and buyer becomes a warm audience for the Academy.</w:t>
      </w:r>
    </w:p>
    <w:p>
      <w:pPr>
        <w:pStyle w:val="ListParagraph"/>
        <w:numPr>
          <w:ilvl w:val="0"/>
          <w:numId w:val="2"/>
        </w:numPr>
        <w:spacing w:after="15" w:before="0" w:line="212"/>
      </w:pPr>
      <w:r>
        <w:rPr>
          <w:rFonts w:ascii="Arial" w:cs="Arial" w:eastAsia="Arial" w:hAnsi="Arial"/>
          <w:b/>
          <w:bCs/>
          <w:color w:val="1E293B"/>
          <w:sz w:val="13"/>
          <w:szCs w:val="13"/>
        </w:rPr>
        <w:t xml:space="preserve">Solid tracking:</w:t>
      </w:r>
      <w:r>
        <w:rPr>
          <w:rFonts w:ascii="Arial" w:cs="Arial" w:eastAsia="Arial" w:hAnsi="Arial"/>
          <w:color w:val="1E293B"/>
          <w:sz w:val="13"/>
          <w:szCs w:val="13"/>
        </w:rPr>
        <w:t xml:space="preserve"> WordPress + WooCommerce + PixelYourSite with Conversions API (server-side events) + GTM + Cookiebot consent → events survive blockers and iOS, consent is handled.</w:t>
      </w:r>
    </w:p>
    <w:p>
      <w:pPr>
        <w:pStyle w:val="ListParagraph"/>
        <w:numPr>
          <w:ilvl w:val="0"/>
          <w:numId w:val="2"/>
        </w:numPr>
        <w:spacing w:after="15" w:before="0" w:line="212"/>
      </w:pPr>
      <w:r>
        <w:rPr>
          <w:rFonts w:ascii="Arial" w:cs="Arial" w:eastAsia="Arial" w:hAnsi="Arial"/>
          <w:b/>
          <w:bCs/>
          <w:color w:val="1E293B"/>
          <w:sz w:val="13"/>
          <w:szCs w:val="13"/>
        </w:rPr>
        <w:t xml:space="preserve">Program-level signals:</w:t>
      </w:r>
      <w:r>
        <w:rPr>
          <w:rFonts w:ascii="Arial" w:cs="Arial" w:eastAsia="Arial" w:hAnsi="Arial"/>
          <w:color w:val="1E293B"/>
          <w:sz w:val="13"/>
          <w:szCs w:val="13"/>
        </w:rPr>
        <w:t xml:space="preserve"> a page and a pop-up video per program (Istraživači, Inženjeri, Inovatori, Akademija) plus click-to-open forms → audiences per program and per video view.</w:t>
      </w:r>
    </w:p>
    <w:p>
      <w:pPr>
        <w:pStyle w:val="ListParagraph"/>
        <w:numPr>
          <w:ilvl w:val="0"/>
          <w:numId w:val="2"/>
        </w:numPr>
        <w:spacing w:after="15" w:before="0" w:line="212"/>
      </w:pPr>
      <w:r>
        <w:rPr>
          <w:rFonts w:ascii="Arial" w:cs="Arial" w:eastAsia="Arial" w:hAnsi="Arial"/>
          <w:b/>
          <w:bCs/>
          <w:color w:val="1E293B"/>
          <w:sz w:val="13"/>
          <w:szCs w:val="13"/>
        </w:rPr>
        <w:t xml:space="preserve">Catalog ads</w:t>
      </w:r>
      <w:r>
        <w:rPr>
          <w:rFonts w:ascii="Arial" w:cs="Arial" w:eastAsia="Arial" w:hAnsi="Arial"/>
          <w:color w:val="1E293B"/>
          <w:sz w:val="13"/>
          <w:szCs w:val="13"/>
        </w:rPr>
        <w:t xml:space="preserve"> (seen Oct 2025): programs as products in a Meta catalog → dynamic ads show the exact program a parent looked at.</w:t>
      </w:r>
    </w:p>
    <w:p>
      <w:pPr>
        <w:pStyle w:val="ListParagraph"/>
        <w:numPr>
          <w:ilvl w:val="0"/>
          <w:numId w:val="2"/>
        </w:numPr>
        <w:spacing w:after="15" w:before="0" w:line="212"/>
      </w:pPr>
      <w:r>
        <w:rPr>
          <w:rFonts w:ascii="Arial" w:cs="Arial" w:eastAsia="Arial" w:hAnsi="Arial"/>
          <w:b/>
          <w:bCs/>
          <w:color w:val="1E293B"/>
          <w:sz w:val="13"/>
          <w:szCs w:val="13"/>
        </w:rPr>
        <w:t xml:space="preserve">Local layer + proof:</w:t>
      </w:r>
      <w:r>
        <w:rPr>
          <w:rFonts w:ascii="Arial" w:cs="Arial" w:eastAsia="Arial" w:hAnsi="Arial"/>
          <w:color w:val="1E293B"/>
          <w:sz w:val="13"/>
          <w:szCs w:val="13"/>
        </w:rPr>
        <w:t xml:space="preserve"> separate "DIC Novi Sad" page, mall events co-promoted by the venue, big numbers, a Google reviews widget and kids’ own quotes.</w:t>
      </w:r>
    </w:p>
    <w:p>
      <w:pPr>
        <w:keepNext/>
        <w:spacing w:after="45" w:before="110"/>
      </w:pPr>
      <w:r>
        <w:rPr>
          <w:rFonts w:ascii="Arial" w:cs="Arial" w:eastAsia="Arial" w:hAnsi="Arial"/>
          <w:b/>
          <w:bCs/>
          <w:color w:val="0E9F85"/>
          <w:sz w:val="19"/>
          <w:szCs w:val="19"/>
        </w:rPr>
        <w:t xml:space="preserve">3  </w:t>
      </w: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What NXT takes — 8 actions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5700"/>
        <w:gridCol w:w="2550"/>
        <w:gridCol w:w="2106"/>
      </w:tblGrid>
      <w:tr>
        <w:trPr>
          <w:tblHeader/>
        </w:trPr>
        <w:tc>
          <w:tcPr>
            <w:tcW w:type="dxa" w:w="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5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Action for NXT</w:t>
            </w:r>
          </w:p>
        </w:tc>
        <w:tc>
          <w:tcPr>
            <w:tcW w:type="dxa" w:w="2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DIC proves it with…</w:t>
            </w:r>
          </w:p>
        </w:tc>
        <w:tc>
          <w:tcPr>
            <w:tcW w:type="dxa" w:w="21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When · owner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1</w:t>
            </w:r>
          </w:p>
        </w:tc>
        <w:tc>
          <w:tcPr>
            <w:tcW w:type="dxa" w:w="5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Level-based retargeting: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one LP section per level + a pixel event per level (Explore / Create / Build / Lead) → R4 shows parents the level they viewed</w:t>
            </w:r>
          </w:p>
        </w:tc>
        <w:tc>
          <w:tcPr>
            <w:tcW w:type="dxa" w:w="2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page + video per program</w:t>
            </w:r>
          </w:p>
        </w:tc>
        <w:tc>
          <w:tcPr>
            <w:tcW w:type="dxa" w:w="21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W1 setup · Viktor + Paid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2</w:t>
            </w:r>
          </w:p>
        </w:tc>
        <w:tc>
          <w:tcPr>
            <w:tcW w:type="dxa" w:w="5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Conversions API + cookie consent banner now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, not in month 2 (Serbian data law needs consent for marketing pixels)</w:t>
            </w:r>
          </w:p>
        </w:tc>
        <w:tc>
          <w:tcPr>
            <w:tcW w:type="dxa" w:w="2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PixelYourSite + CAPI + Cookiebot</w:t>
            </w:r>
          </w:p>
        </w:tc>
        <w:tc>
          <w:tcPr>
            <w:tcW w:type="dxa" w:w="21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Before launch · Viktor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3</w:t>
            </w:r>
          </w:p>
        </w:tc>
        <w:tc>
          <w:tcPr>
            <w:tcW w:type="dxa" w:w="5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Low-commitment entry product for Nov–Dec: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"NXT Saturday Challenge" (themed 90 min) and/or a free "NXT Parents" evening (AI &amp; internet safety) → January pool</w:t>
            </w:r>
          </w:p>
        </w:tc>
        <w:tc>
          <w:tcPr>
            <w:tcW w:type="dxa" w:w="2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workshops and birthdays feed their Academy</w:t>
            </w:r>
          </w:p>
        </w:tc>
        <w:tc>
          <w:tcPr>
            <w:tcW w:type="dxa" w:w="21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Plan W3, run Nov–Dec · Mladen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4</w:t>
            </w:r>
          </w:p>
        </w:tc>
        <w:tc>
          <w:tcPr>
            <w:tcW w:type="dxa" w:w="5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Interest hooks for older kids: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"Voli Minecraft / Roblox? Neka napravi nešto svoje." for Build / Lead parents</w:t>
            </w:r>
          </w:p>
        </w:tc>
        <w:tc>
          <w:tcPr>
            <w:tcW w:type="dxa" w:w="2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themed workshops by kids’ favourite games</w:t>
            </w:r>
          </w:p>
        </w:tc>
        <w:tc>
          <w:tcPr>
            <w:tcW w:type="dxa" w:w="21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W3 test · Ilona + Nikola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5</w:t>
            </w:r>
          </w:p>
        </w:tc>
        <w:tc>
          <w:tcPr>
            <w:tcW w:type="dxa" w:w="5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Program video on the LP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("Pogledaj kako izgleda čas", 30–60 s) → video-viewer audience for retargeting</w:t>
            </w:r>
          </w:p>
        </w:tc>
        <w:tc>
          <w:tcPr>
            <w:tcW w:type="dxa" w:w="2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pop-up video per program</w:t>
            </w:r>
          </w:p>
        </w:tc>
        <w:tc>
          <w:tcPr>
            <w:tcW w:type="dxa" w:w="21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After shoot (W3) · Igor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6</w:t>
            </w:r>
          </w:p>
        </w:tc>
        <w:tc>
          <w:tcPr>
            <w:tcW w:type="dxa" w:w="5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Click-to-call / Viber on mobile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+ test a Click-to-Message ad in retargeting</w:t>
            </w:r>
          </w:p>
        </w:tc>
        <w:tc>
          <w:tcPr>
            <w:tcW w:type="dxa" w:w="2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Call Now button, booking by phone and IG DM</w:t>
            </w:r>
          </w:p>
        </w:tc>
        <w:tc>
          <w:tcPr>
            <w:tcW w:type="dxa" w:w="21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W2 · Viktor + Paid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7</w:t>
            </w:r>
          </w:p>
        </w:tc>
        <w:tc>
          <w:tcPr>
            <w:tcW w:type="dxa" w:w="5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Google reviews from day 1: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ask Open Day families and first-month parents; show the widget on the LP</w:t>
            </w:r>
          </w:p>
        </w:tc>
        <w:tc>
          <w:tcPr>
            <w:tcW w:type="dxa" w:w="2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82-review widget is their top trust block</w:t>
            </w:r>
          </w:p>
        </w:tc>
        <w:tc>
          <w:tcPr>
            <w:tcW w:type="dxa" w:w="21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From Open Day · Ana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8</w:t>
            </w:r>
          </w:p>
        </w:tc>
        <w:tc>
          <w:tcPr>
            <w:tcW w:type="dxa" w:w="5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Venue pop-up for the January wave: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NXT mini challenge at BIG / Promenada / city library, co-promoted by the venue</w:t>
            </w:r>
          </w:p>
        </w:tc>
        <w:tc>
          <w:tcPr>
            <w:tcW w:type="dxa" w:w="2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"Dani LEGO robotike" promoted by BIG Novi Sad</w:t>
            </w:r>
          </w:p>
        </w:tc>
        <w:tc>
          <w:tcPr>
            <w:tcW w:type="dxa" w:w="21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December · Mladen</w:t>
            </w:r>
          </w:p>
        </w:tc>
      </w:tr>
    </w:tbl>
    <w:p>
      <w:pPr>
        <w:keepNext/>
        <w:spacing w:after="45" w:before="110"/>
      </w:pPr>
      <w:r>
        <w:rPr>
          <w:rFonts w:ascii="Arial" w:cs="Arial" w:eastAsia="Arial" w:hAnsi="Arial"/>
          <w:b/>
          <w:bCs/>
          <w:color w:val="E5487A"/>
          <w:sz w:val="19"/>
          <w:szCs w:val="19"/>
        </w:rPr>
        <w:t xml:space="preserve">4  </w:t>
      </w: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Where NXT must not copy DIC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206"/>
      </w:tblGrid>
      <w:tr>
        <w:trPr>
          <w:tblHeader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12"/>
            </w:pPr>
          </w:p>
        </w:tc>
        <w:tc>
          <w:tcPr>
            <w:tcW w:type="dxa" w:w="9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 differently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F3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Positioning</w:t>
            </w:r>
          </w:p>
        </w:tc>
        <w:tc>
          <w:tcPr>
            <w:tcW w:type="dxa" w:w="9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They are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the robotics / coding option in Novi Sad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. Our ads must never read like a robotics or coding course — stay on less scrolling, thinking with AI, English and presenting. "Nije još jedan STEM centar" now has a real reason (never name them).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F3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Look &amp; tone</w:t>
            </w:r>
          </w:p>
        </w:tc>
        <w:tc>
          <w:tcPr>
            <w:tcW w:type="dxa" w:w="9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Theirs is playful and LEGO-first ("DIC-astična obaveštenja"). NXT stays premium, clean and grown-up enough for 7th–8th grade.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F3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Price</w:t>
            </w:r>
          </w:p>
        </w:tc>
        <w:tc>
          <w:tcPr>
            <w:tcW w:type="dxa" w:w="9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They hide Academy prices; NXT shows the founding price — it pre-qualifies leads. Keep it.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F3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Volume</w:t>
            </w:r>
          </w:p>
        </w:tc>
        <w:tc>
          <w:tcPr>
            <w:tcW w:type="dxa" w:w="9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before="0" w:line="21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2 pages and ~26 ads in 5 weeks is a 6-centre budget. We stay consolidated: one prospecting ad set, 5 angles.</w:t>
            </w:r>
          </w:p>
        </w:tc>
      </w:tr>
    </w:tbl>
    <w:sectPr>
      <w:pgSz w:w="11906" w:h="16838" w:orient="portrait"/>
      <w:pgMar w:top="48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DIC teardown</dc:title>
  <dc:creator>Play Media</dc:creator>
  <cp:lastModifiedBy>Un-named</cp:lastModifiedBy>
  <cp:revision>1</cp:revision>
  <dcterms:created xsi:type="dcterms:W3CDTF">2026-10-05T14:29:31.762Z</dcterms:created>
  <dcterms:modified xsi:type="dcterms:W3CDTF">2026-10-05T14:29:31.762Z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