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Arial" w:cs="Arial" w:eastAsia="Arial" w:hAnsi="Arial"/>
          <w:b/>
          <w:bCs/>
          <w:color w:val="007BFF"/>
          <w:spacing w:val="30"/>
          <w:sz w:val="14"/>
          <w:szCs w:val="14"/>
        </w:rPr>
        <w:t xml:space="preserve">NXT SCHOOL · DESIGN BRIEF · CAROUSEL</w:t>
      </w:r>
    </w:p>
    <w:p>
      <w:pPr>
        <w:spacing w:after="30"/>
      </w:pPr>
      <w:r>
        <w:rPr>
          <w:rFonts w:ascii="Arial" w:cs="Arial" w:eastAsia="Arial" w:hAnsi="Arial"/>
          <w:b/>
          <w:bCs/>
          <w:color w:val="0F172A"/>
          <w:sz w:val="30"/>
          <w:szCs w:val="30"/>
        </w:rPr>
        <w:t xml:space="preserve">Carousel — “Šta će vaše dete zaista naučiti?” (6 oblasti)</w:t>
      </w:r>
    </w:p>
    <w:p>
      <w:pPr>
        <w:spacing w:after="70" w:before="0" w:line="222"/>
      </w:pPr>
      <w:r>
        <w:rPr>
          <w:rFonts w:ascii="Arial" w:cs="Arial" w:eastAsia="Arial" w:hAnsi="Arial"/>
          <w:color w:val="475569"/>
          <w:sz w:val="15"/>
          <w:szCs w:val="15"/>
        </w:rPr>
        <w:t xml:space="preserve">For Nikola. 8 cards, 1:1, built from the website’s “Šest oblasti” section. Mockups are the target; copy is final unless Mladen changes it. Images: design-briefs/images/Carousel_6_oblasti.</w:t>
      </w: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300"/>
        <w:gridCol w:w="3306"/>
      </w:tblGrid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Deliverable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Format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30"/>
              <w:left w:type="dxa" w:w="80"/>
              <w:bottom w:type="dxa" w:w="30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Due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C6-1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Cover + closing card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CAROUSEL 1:1 · 1080 × 1080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Wed 14 Oct</w:t>
            </w:r>
          </w:p>
        </w:tc>
      </w:tr>
      <w:tr>
        <w:tc>
          <w:tcPr>
            <w:tcW w:type="dxa" w:w="9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C6-2</w:t>
            </w:r>
          </w:p>
        </w:tc>
        <w:tc>
          <w:tcPr>
            <w:tcW w:type="dxa" w:w="42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Cards 2–7 · 6 areas</w:t>
            </w:r>
          </w:p>
        </w:tc>
        <w:tc>
          <w:tcPr>
            <w:tcW w:type="dxa" w:w="23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CAROUSEL 1:1 · 1080 × 1080</w:t>
            </w:r>
          </w:p>
        </w:tc>
        <w:tc>
          <w:tcPr>
            <w:tcW w:type="dxa" w:w="33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FFFFF" w:color="auto" w:val="clear"/>
            <w:tcMar>
              <w:top w:type="dxa" w:w="25"/>
              <w:left w:type="dxa" w:w="80"/>
              <w:bottom w:type="dxa" w:w="25"/>
              <w:right w:type="dxa" w:w="80"/>
            </w:tcMar>
          </w:tcPr>
          <w:p>
            <w:pPr>
              <w:spacing w:after="0" w:before="0" w:line="222"/>
            </w:pP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Wed 14 Oct</w:t>
            </w:r>
          </w:p>
        </w:tc>
      </w:tr>
    </w:tbl>
    <w:p>
      <w:pPr>
        <w:spacing w:after="5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06"/>
      </w:tblGrid>
      <w:tr>
        <w:tc>
          <w:tcPr>
            <w:tcW w:type="dxa" w:w="10706"/>
            <w:tcBorders>
              <w:top w:val="none" w:color="FFFFFF" w:sz="0"/>
              <w:left w:val="single" w:color="007BFF" w:sz="18"/>
              <w:bottom w:val="none" w:color="FFFFFF" w:sz="0"/>
              <w:right w:val="none" w:color="FFFFFF" w:sz="0"/>
            </w:tcBorders>
            <w:shd w:fill="EEF4FF" w:color="auto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pPr>
              <w:spacing w:after="30" w:before="0" w:line="222"/>
            </w:pPr>
            <w:r>
              <w:rPr>
                <w:rFonts w:ascii="Arial" w:cs="Arial" w:eastAsia="Arial" w:hAnsi="Arial"/>
                <w:b/>
                <w:bCs/>
                <w:color w:val="007BFF"/>
                <w:sz w:val="13"/>
                <w:szCs w:val="13"/>
              </w:rPr>
              <w:t xml:space="preserve">RULES FOR EVERY BATCH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Brand: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Manrope ExtraBold headlines · navy #0F172A · light #F8FAFC · blue #007BFF → purple #7A5CFF gradient as accent only · ≥ 40% whitespace ·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final NXT logo file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(the mockups use a placeholder wordmark).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Sizes: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feed 4:5 = 1080 × 1350 (≥ 60 px margins) + story 9:16 = 1080 × 1920 (keep top 250 px and bottom 380 px free of text and CTA). Re-layout for 9:16 — never just crop.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CTA: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one pill, "Prijavi dete →" (Open Day ads: "Prijavi se →"). Answers on phone-size text: min ~24 px at 1080 width.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Facts = the website: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regular 7.200 RSD · Open Day ponedeljak, 26. oktobar, 18–20 h · no "besplatno" until confirmed · level copy + "6 oblasti" as on the site.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Never: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AI-generated children’s faces · rows of kids staring at screens · "Demo Day" (it’s NXT Showcase) · seat counts (the site’s "Broj mesta je ograničen" is fine). Real child photos need signed parental consent.</w:t>
            </w:r>
          </w:p>
          <w:p>
            <w:pPr>
              <w:spacing w:after="18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Delivery: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PNG, named AdID_Creative_v#_ratio (e.g. P2_C3_LessScrolling_v1_9x16.png) → shared folder → </w:t>
            </w:r>
            <w:r>
              <w:rPr>
                <w:rFonts w:ascii="Arial" w:cs="Arial" w:eastAsia="Arial" w:hAnsi="Arial"/>
                <w:b/>
                <w:bCs/>
                <w:color w:val="1E293B"/>
                <w:sz w:val="13"/>
                <w:szCs w:val="13"/>
              </w:rPr>
              <w:t xml:space="preserve">Mladen signs off</w:t>
            </w:r>
            <w:r>
              <w:rPr>
                <w:rFonts w:ascii="Arial" w:cs="Arial" w:eastAsia="Arial" w:hAnsi="Arial"/>
                <w:color w:val="1E293B"/>
                <w:sz w:val="13"/>
                <w:szCs w:val="13"/>
              </w:rPr>
              <w:t xml:space="preserve"> → Filip uploads.</w:t>
            </w:r>
          </w:p>
        </w:tc>
      </w:tr>
    </w:tbl>
    <w:p>
      <w:pPr>
        <w:spacing w:after="6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C6-1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 + closing card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Carousel 1:1 · cards 1 and 8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257300"/>
                  <wp:effectExtent t="0" r="0" b="0" l="0"/>
                  <wp:docPr id="1" name="carousel_6_oblasti/CAR6_01_cover.png" descr="carousel_6_oblasti/CAR6_01_cover.png" title="carousel_6_oblasti/CAR6_01_cover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Card 1 · cover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257300"/>
                  <wp:effectExtent t="0" r="0" b="0" l="0"/>
                  <wp:docPr id="1" name="carousel_6_oblasti/CAR6_08_founding.png" descr="carousel_6_oblasti/CAR6_08_founding.png" title="carousel_6_oblasti/CAR6_08_found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Card 8 · close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A4BE8"/>
                <w:sz w:val="13"/>
                <w:szCs w:val="13"/>
                <w:shd w:fill="EDE8FF" w:color="auto" w:val="clear"/>
              </w:rPr>
              <w:t xml:space="preserve"> STATIC / MOTION / CAROUSEL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Wed 14 Oct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stop the scroll with the parent’s real question, close with the offer and one CTA.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Navy cards open and close the set; cards 2–7 are light.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Build all 8 cards as ONE 8640 × 1080 artboard, then slice into 1080 × 1080 — the gradient wave must run unbroken from card to card (that is what makes people swipe).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“Prevucite →” only on the cover. Card counter top right on every card.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card 1 kicker: FUTURE SKILLS PROGRAM · 1–8. RAZRED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card 1 headline: Šta će vaše dete zaista naučiti?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card 1 sub: 6 oblasti. Jedan povezan program. + the 6 area icons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card 8 kicker: SVIH 6 OBLASTI ZAJEDNO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card 8 headline: Kroz praktične projekte. Svaki čas — nešto napravljeno.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card 8 price: </w:t>
            </w:r>
            <w:r>
              <w:rPr>
                <w:rFonts w:ascii="Arial" w:cs="Arial" w:eastAsia="Arial" w:hAnsi="Arial"/>
                <w:strike/>
                <w:color w:val="94A3B8"/>
                <w:sz w:val="14"/>
                <w:szCs w:val="14"/>
              </w:rPr>
              <w:t xml:space="preserve">7.200 RSD</w:t>
            </w: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 5.900 RSD mesečno · FOUNDING CENA · PRVA GENERACIJA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card 8 chips: Početak 9. novembra · Grupe do 10 dece · Cara Dušana 49 · CTA: Prijavi dete →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more than one CTA in the set; flags for English.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headline “6 oblasti. Jedan povezan program.” · primary “Šta će vaše dete zaista naučiti u NXT School? 6 oblasti koje se ne uče kao odvojeni predmeti, već zajedno, kroz praktične projekte. 1–8. razred · grupe do 10 dece · početak 9. novembra. Founding cena 5.900 RSD mesečno (regularna 7.200). 👉 Prijavi dete”</w:t>
            </w:r>
          </w:p>
        </w:tc>
      </w:tr>
    </w:tbl>
    <w:p>
      <w:pPr>
        <w:spacing w:after="80"/>
      </w:pPr>
    </w:p>
    <w:tbl>
      <w:tblPr>
        <w:tblW w:type="dxa" w:w="10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8206"/>
      </w:tblGrid>
      <w:tr>
        <w:trPr>
          <w:cantSplit/>
        </w:trPr>
        <w:tc>
          <w:tcPr>
            <w:tcW w:type="dxa" w:w="10706"/>
            <w:gridSpan w:val="2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0F172A" w:color="auto" w:val="clear"/>
            <w:tcMar>
              <w:top w:type="dxa" w:w="50"/>
              <w:left w:type="dxa" w:w="110"/>
              <w:bottom w:type="dxa" w:w="50"/>
              <w:right w:type="dxa" w:w="110"/>
            </w:tcMar>
          </w:tcPr>
          <w:p>
            <w:pPr>
              <w:keepNext/>
              <w:keepLines/>
            </w:pPr>
            <w:r>
              <w:rPr>
                <w:rFonts w:ascii="Arial" w:cs="Arial" w:eastAsia="Arial" w:hAnsi="Arial"/>
                <w:b/>
                <w:bCs/>
                <w:color w:val="8FB8FF"/>
                <w:sz w:val="18"/>
                <w:szCs w:val="18"/>
              </w:rPr>
              <w:t xml:space="preserve">C6-2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Cards 2–7 · the 6 areas (website copy)</w:t>
            </w:r>
            <w:r>
              <w:rPr>
                <w:rFonts w:ascii="Arial" w:cs="Arial" w:eastAsia="Arial" w:hAnsi="Arial"/>
                <w:color w:val="CBD5E1"/>
                <w:sz w:val="14"/>
                <w:szCs w:val="14"/>
              </w:rPr>
              <w:t xml:space="preserve">   Carousel 1:1 · one area per card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shd w:fill="F1F5F9" w:color="auto" w:val="clear"/>
            <w:tcMar>
              <w:top w:type="dxa" w:w="100"/>
              <w:left w:type="dxa" w:w="80"/>
              <w:bottom w:type="dxa" w:w="80"/>
              <w:right w:type="dxa" w:w="80"/>
            </w:tcMar>
            <w:vAlign w:val="top"/>
          </w:tcPr>
          <w:p>
            <w:pPr>
              <w:spacing w:after="50" w:before="0" w:line="222"/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12"/>
                <w:szCs w:val="12"/>
              </w:rPr>
              <w:t xml:space="preserve">INSPIRATION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257300"/>
                  <wp:effectExtent t="0" r="0" b="0" l="0"/>
                  <wp:docPr id="1" name="carousel_6_oblasti/CAR6_02_english.png" descr="carousel_6_oblasti/CAR6_02_english.png" title="carousel_6_oblasti/CAR6_02_englis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Card 2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257300"/>
                  <wp:effectExtent t="0" r="0" b="0" l="0"/>
                  <wp:docPr id="1" name="carousel_6_oblasti/CAR6_03_ai.png" descr="carousel_6_oblasti/CAR6_03_ai.png" title="carousel_6_oblasti/CAR6_03_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Card 3</w:t>
            </w:r>
          </w:p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1257300" cy="1257300"/>
                  <wp:effectExtent t="0" r="0" b="0" l="0"/>
                  <wp:docPr id="1" name="carousel_6_oblasti/CAR6_04_research.png" descr="carousel_6_oblasti/CAR6_04_research.png" title="carousel_6_oblasti/CAR6_04_research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25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before="0" w:line="222"/>
              <w:jc w:val="center"/>
            </w:pPr>
            <w:r>
              <w:rPr>
                <w:rFonts w:ascii="Arial" w:cs="Arial" w:eastAsia="Arial" w:hAnsi="Arial"/>
                <w:color w:val="475569"/>
                <w:sz w:val="12"/>
                <w:szCs w:val="12"/>
              </w:rPr>
              <w:t xml:space="preserve">Card 4</w:t>
            </w:r>
          </w:p>
        </w:tc>
        <w:tc>
          <w:tcPr>
            <w:tcW w:type="dxa" w:w="8206"/>
            <w:tcBorders>
              <w:top w:val="single" w:color="D9E1EC" w:sz="4"/>
              <w:left w:val="single" w:color="D9E1EC" w:sz="4"/>
              <w:bottom w:val="single" w:color="D9E1EC" w:sz="4"/>
              <w:right w:val="single" w:color="D9E1EC" w:sz="4"/>
            </w:tcBorders>
            <w:tcMar>
              <w:top w:type="dxa" w:w="90"/>
              <w:left w:type="dxa" w:w="150"/>
              <w:bottom w:type="dxa" w:w="80"/>
              <w:right w:type="dxa" w:w="130"/>
            </w:tcMar>
            <w:vAlign w:val="top"/>
          </w:tcPr>
          <w:p>
            <w:pPr>
              <w:spacing w:after="70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  <w:shd w:fill="0E9F85" w:color="auto" w:val="clear"/>
              </w:rPr>
              <w:t xml:space="preserve"> FINALIZE MOCKUP </w:t>
            </w:r>
            <w:r>
              <w:rPr>
                <w:rFonts w:ascii="Arial" w:cs="Arial" w:eastAsia="Arial" w:hAnsi="Arial"/>
                <w:sz w:val="13"/>
                <w:szCs w:val="13"/>
              </w:rPr>
              <w:t xml:space="preserve">  </w:t>
            </w:r>
            <w:r>
              <w:rPr>
                <w:rFonts w:ascii="Arial" w:cs="Arial" w:eastAsia="Arial" w:hAnsi="Arial"/>
                <w:b/>
                <w:bCs/>
                <w:color w:val="6A4BE8"/>
                <w:sz w:val="13"/>
                <w:szCs w:val="13"/>
                <w:shd w:fill="EDE8FF" w:color="auto" w:val="clear"/>
              </w:rPr>
              <w:t xml:space="preserve"> STATIC / MOTION / CAROUSEL </w:t>
            </w:r>
            <w:r>
              <w:rPr>
                <w:rFonts w:ascii="Arial" w:cs="Arial" w:eastAsia="Arial" w:hAnsi="Arial"/>
                <w:color w:val="475569"/>
                <w:sz w:val="14"/>
                <w:szCs w:val="14"/>
              </w:rPr>
              <w:t xml:space="preserve">   Due: </w:t>
            </w:r>
            <w:r>
              <w:rPr>
                <w:rFonts w:ascii="Arial" w:cs="Arial" w:eastAsia="Arial" w:hAnsi="Arial"/>
                <w:b/>
                <w:bCs/>
                <w:color w:val="E5487A"/>
                <w:sz w:val="14"/>
                <w:szCs w:val="14"/>
              </w:rPr>
              <w:t xml:space="preserve">Wed 14 Oct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Job:</w:t>
            </w:r>
            <w:r>
              <w:rPr>
                <w:rFonts w:ascii="Arial" w:cs="Arial" w:eastAsia="Arial" w:hAnsi="Arial"/>
                <w:color w:val="1E293B"/>
                <w:sz w:val="15"/>
                <w:szCs w:val="15"/>
              </w:rPr>
              <w:t xml:space="preserve"> make each area concrete in 3 seconds: icon → name → one sentence → a real example week.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Make / improve: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Same grid on all 6: icon tile, numbered kicker, English area name (as on the site), Serbian description, example chip.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One accent colour per area (blue, purple, green, amber, pink, sky) — icon, kicker and chip use it.</w:t>
            </w:r>
          </w:p>
          <w:p>
            <w:pPr>
              <w:spacing w:after="12" w:before="0" w:line="222"/>
            </w:pP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• Later, swap the icon tile for a real class photo per area (consent!) — layout stays.</w:t>
            </w:r>
          </w:p>
          <w:p>
            <w:pPr>
              <w:spacing w:after="10" w:before="3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5"/>
                <w:szCs w:val="15"/>
              </w:rPr>
              <w:t xml:space="preserve">On the image (exact text):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02 English in Practice — Engleski bez straha: deca pitaju, istražuju i predstavljaju projekte na engleskom — prirodno i prilagođeno uzrastu i nivou grupe. · chip: U praksi: Show &amp; Tell na kraju časa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03 AI Literacy — Kako koristiti AI pametno: pitaj, proveri, poboljšaj, ti odluči. AI je asistent, ne autoritet. · chip: Primer nedelje: Outsmart the AI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04 Research &amp; Critical Thinking — Izvori, provera informacija, činjenica ili mišljenje, prepoznavanje dezinformacija. · chip: Primer nedelje: Ask Better Questions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05 Digital Skills &amp; Online Safety — Dokumenti, prezentacije, fajlovi i digitalni alati — uz privatnost, prevare i digitalni trag. · chip: Nedelje 9–12: provera informacija i bezbednost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06 Creativity &amp; Making — Dizajn, video, audio, fizički prototipi, logika i osnove programiranja. · chip: Primer nedelje: Design Is a Decision</w:t>
            </w:r>
          </w:p>
          <w:p>
            <w:pPr>
              <w:spacing w:after="10" w:before="0" w:line="222"/>
            </w:pPr>
            <w:r>
              <w:rPr>
                <w:rFonts w:ascii="Arial" w:cs="Arial" w:eastAsia="Arial" w:hAnsi="Arial"/>
                <w:color w:val="0F172A"/>
                <w:sz w:val="14"/>
                <w:szCs w:val="14"/>
              </w:rPr>
              <w:t xml:space="preserve">— 07 Communication &amp; Teamwork — Prezentovanje, timski rad, inicijativa, planiranje i rešavanje problema. · chip: Primer nedelje: NXT Money Game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1E293B"/>
                <w:sz w:val="14"/>
                <w:szCs w:val="14"/>
              </w:rPr>
              <w:t xml:space="preserve">Avoid:</w:t>
            </w:r>
            <w:r>
              <w:rPr>
                <w:rFonts w:ascii="Arial" w:cs="Arial" w:eastAsia="Arial" w:hAnsi="Arial"/>
                <w:color w:val="1E293B"/>
                <w:sz w:val="14"/>
                <w:szCs w:val="14"/>
              </w:rPr>
              <w:t xml:space="preserve"> “radni jezik” on the English card (dropped line); more than ~25 words per description.</w:t>
            </w:r>
          </w:p>
          <w:p>
            <w:pPr>
              <w:spacing w:after="25" w:before="0" w:line="222"/>
            </w:pPr>
            <w:r>
              <w:rPr>
                <w:rFonts w:ascii="Arial" w:cs="Arial" w:eastAsia="Arial" w:hAnsi="Arial"/>
                <w:b/>
                <w:bCs/>
                <w:color w:val="475569"/>
                <w:sz w:val="13"/>
                <w:szCs w:val="13"/>
              </w:rPr>
              <w:t xml:space="preserve">Copy that runs with it:</w:t>
            </w:r>
            <w:r>
              <w:rPr>
                <w:rFonts w:ascii="Arial" w:cs="Arial" w:eastAsia="Arial" w:hAnsi="Arial"/>
                <w:color w:val="475569"/>
                <w:sz w:val="13"/>
                <w:szCs w:val="13"/>
              </w:rPr>
              <w:t xml:space="preserve"> per-card headlines in Ads Manager = the area names.</w:t>
            </w:r>
          </w:p>
        </w:tc>
      </w:tr>
    </w:tbl>
    <w:p>
      <w:pPr>
        <w:spacing w:after="80"/>
      </w:pPr>
    </w:p>
    <w:sectPr>
      <w:pgSz w:w="11906" w:h="16838" w:orient="portrait"/>
      <w:pgMar w:top="500" w:right="600" w:bottom="420" w:left="6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5"/>
        <w:szCs w:val="15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a4bd7e971bcb4f7e696763fc550548d31cca98e.png"/><Relationship Id="rId8" Type="http://schemas.openxmlformats.org/officeDocument/2006/relationships/image" Target="media/4667d6db3a3c053df77183c22acd5d4135ce24c5.png"/><Relationship Id="rId9" Type="http://schemas.openxmlformats.org/officeDocument/2006/relationships/image" Target="media/78bd8c0067d3f53abc8559987a433197651012b8.png"/><Relationship Id="rId10" Type="http://schemas.openxmlformats.org/officeDocument/2006/relationships/image" Target="media/4f800caa1629ed11942051e4e9650c3d0e128225.png"/><Relationship Id="rId11" Type="http://schemas.openxmlformats.org/officeDocument/2006/relationships/image" Target="media/4f71d7a9aa08efdff36b256a1a3d4ec3fe9585c7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Carousel — “Šta će vaše dete zaista naučiti?” (6 oblasti)</dc:title>
  <dc:creator>Play Media</dc:creator>
  <cp:lastModifiedBy>Un-named</cp:lastModifiedBy>
  <cp:revision>1</cp:revision>
  <dcterms:created xsi:type="dcterms:W3CDTF">2026-10-09T07:02:53.796Z</dcterms:created>
  <dcterms:modified xsi:type="dcterms:W3CDTF">2026-10-09T07:02:53.796Z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