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南京居民身份证期满换领技术说明</w:t>
      </w:r>
    </w:p>
    <w:p>
      <w:r>
        <w:t>本说明供项目队员和指导教师核查南京真实事项的工程实现与交付。当前已具备来源绑定、候选本体与跨文档推导、更新工程发布、群众与工作人员交接及解压项目复现。规则、关系、OCR和答复继续保持候选，正式业务发布关闭；独立业务评测没有结果。</w:t>
      </w:r>
    </w:p>
    <w:p>
      <w:r>
        <w:t>工程记录整理日期为2026年10月19日，由AI辅助编写，未代签任何人工业务复核。本文采用项目技术说明格式，尚未套用官方赛事Word模板。</w:t>
      </w:r>
    </w:p>
    <w:p>
      <w:pPr>
        <w:pStyle w:val="Heading2"/>
      </w:pPr>
      <w:r>
        <w:t>事项与适用范围</w:t>
      </w:r>
    </w:p>
    <w:p>
      <w:r>
        <w:t>主分支为南京市居民身份证期满换领，成年人、具有完全民事行为能力、本人办理、江苏户籍。旧证生命周期推导另须声明旧证仍有效。未知、未成年人、代办、省外户籍、遗失损坏、历史日期及证据不足不能自动套用主分支。所有演示条件均为虚构声明，不收集姓名、证件号、联系方式或实际申请附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5472"/>
        <w:gridCol w:w="2304"/>
      </w:tblGrid>
      <w:tr>
        <w:trPr>
          <w:tblHeader/>
        </w:trPr>
        <w:tc>
          <w:tcPr>
            <w:tcW w:type="dxa" w:w="2304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5472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已验证范围</w:t>
            </w:r>
          </w:p>
        </w:tc>
        <w:tc>
          <w:tcPr>
            <w:tcW w:type="dxa" w:w="2304"/>
            <w:vAlign w:val="center"/>
            <w:shd w:fill="D9E5EF"/>
          </w:tcPr>
          <w:p>
            <w:pPr>
              <w:spacing w:before="80" w:after="80" w:line="264" w:lineRule="auto"/>
              <w:jc w:val="center"/>
            </w:pPr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真实资料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4份HTML 142段正文及4页扫描公报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  <w:jc w:val="center"/>
            </w:pPr>
            <w:r>
              <w:rPr>
                <w:b w:val="0"/>
                <w:sz w:val="20"/>
              </w:rPr>
              <w:t>候选原件</w:t>
            </w:r>
          </w:p>
        </w:tc>
      </w:tr>
      <w:tr>
        <w:tc>
          <w:tcPr>
            <w:tcW w:type="dxa" w:w="2304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规则核查</w:t>
            </w:r>
          </w:p>
        </w:tc>
        <w:tc>
          <w:tcPr>
            <w:tcW w:type="dxa" w:w="547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16条来源绑定候选规则</w:t>
            </w:r>
          </w:p>
        </w:tc>
        <w:tc>
          <w:tcPr>
            <w:tcW w:type="dxa" w:w="2304"/>
            <w:vAlign w:val="center"/>
            <w:shd w:fill="F5F7FA"/>
          </w:tcPr>
          <w:p>
            <w:pPr>
              <w:spacing w:before="80" w:after="80" w:line="264" w:lineRule="auto"/>
              <w:jc w:val="center"/>
            </w:pPr>
            <w:r>
              <w:rPr>
                <w:b w:val="0"/>
                <w:sz w:val="20"/>
              </w:rPr>
              <w:t>人工待核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本体与多跳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4条替代路径支持1个候选结论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  <w:jc w:val="center"/>
            </w:pPr>
            <w:r>
              <w:rPr>
                <w:b w:val="0"/>
                <w:sz w:val="20"/>
              </w:rPr>
              <w:t>工程可执行</w:t>
            </w:r>
          </w:p>
        </w:tc>
      </w:tr>
      <w:tr>
        <w:tc>
          <w:tcPr>
            <w:tcW w:type="dxa" w:w="2304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更新与交接</w:t>
            </w:r>
          </w:p>
        </w:tc>
        <w:tc>
          <w:tcPr>
            <w:tcW w:type="dxa" w:w="547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实际HTTP 19项检查</w:t>
            </w:r>
          </w:p>
        </w:tc>
        <w:tc>
          <w:tcPr>
            <w:tcW w:type="dxa" w:w="2304"/>
            <w:vAlign w:val="center"/>
            <w:shd w:fill="F5F7FA"/>
          </w:tcPr>
          <w:p>
            <w:pPr>
              <w:spacing w:before="80" w:after="80" w:line="264" w:lineRule="auto"/>
              <w:jc w:val="center"/>
            </w:pPr>
            <w:r>
              <w:rPr>
                <w:b w:val="0"/>
                <w:sz w:val="20"/>
              </w:rPr>
              <w:t>工程通过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解压复现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新Python环境 双端HTTP 19项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  <w:jc w:val="center"/>
            </w:pPr>
            <w:r>
              <w:rPr>
                <w:b w:val="0"/>
                <w:sz w:val="20"/>
              </w:rPr>
              <w:t>工程通过</w:t>
            </w:r>
          </w:p>
        </w:tc>
      </w:tr>
      <w:tr>
        <w:tc>
          <w:tcPr>
            <w:tcW w:type="dxa" w:w="2304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本地Qwen v4</w:t>
            </w:r>
          </w:p>
        </w:tc>
        <w:tc>
          <w:tcPr>
            <w:tcW w:type="dxa" w:w="547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实际主子Agent轨迹</w:t>
            </w:r>
          </w:p>
        </w:tc>
        <w:tc>
          <w:tcPr>
            <w:tcW w:type="dxa" w:w="2304"/>
            <w:vAlign w:val="center"/>
            <w:shd w:fill="F5F7FA"/>
          </w:tcPr>
          <w:p>
            <w:pPr>
              <w:spacing w:before="80" w:after="80" w:line="264" w:lineRule="auto"/>
              <w:jc w:val="center"/>
            </w:pPr>
            <w:r>
              <w:rPr>
                <w:b w:val="0"/>
                <w:sz w:val="20"/>
              </w:rPr>
              <w:t>通过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独立评测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尚无独立冻结案例和评分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  <w:jc w:val="center"/>
            </w:pPr>
            <w:r>
              <w:rPr>
                <w:b w:val="0"/>
                <w:sz w:val="20"/>
              </w:rPr>
              <w:t>待完成</w:t>
            </w:r>
          </w:p>
        </w:tc>
      </w:tr>
    </w:tbl>
    <w:p>
      <w:pPr>
        <w:spacing w:after="20"/>
      </w:pPr>
    </w:p>
    <w:p>
      <w:r>
        <w:t>工程检查数、来源段落数、替代证据路径数均不是独立业务案例数。本文不据此报告政策准确率、人工节时或模型学习效果。</w:t>
      </w:r>
    </w:p>
    <w:p>
      <w:r>
        <w:br w:type="page"/>
      </w:r>
    </w:p>
    <w:p>
      <w:pPr>
        <w:pStyle w:val="Heading1"/>
      </w:pPr>
      <w:r>
        <w:t>官方原件与OCR候选</w:t>
      </w:r>
    </w:p>
    <w:p>
      <w:r>
        <w:t>完整原件、哈希、段落定位、页面日期观察和抓取回执保存在来源包与更新快照中。回答引用必须同时携带原文位置和适用范围。公布日、施行日和抓取日分开记录，未知日期保持未知。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1008"/>
        <w:gridCol w:w="5832"/>
      </w:tblGrid>
      <w:tr>
        <w:trPr>
          <w:tblHeader/>
        </w:trPr>
        <w:tc>
          <w:tcPr>
            <w:tcW w:type="dxa" w:w="3240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1008"/>
            <w:vAlign w:val="center"/>
            <w:shd w:fill="D9E5EF"/>
          </w:tcPr>
          <w:p>
            <w:pPr>
              <w:spacing w:before="80" w:after="80" w:line="264" w:lineRule="auto"/>
              <w:jc w:val="center"/>
            </w:pPr>
            <w:r>
              <w:rPr>
                <w:b/>
                <w:sz w:val="20"/>
              </w:rPr>
              <w:t>正文量</w:t>
            </w:r>
          </w:p>
        </w:tc>
        <w:tc>
          <w:tcPr>
            <w:tcW w:type="dxa" w:w="5832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NJ-POLICE-FAQ-2025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80" w:after="80" w:line="264" w:lineRule="auto"/>
              <w:jc w:val="center"/>
            </w:pPr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南京公安换证问答</w:t>
            </w:r>
          </w:p>
        </w:tc>
      </w:tr>
      <w:tr>
        <w:tc>
          <w:tcPr>
            <w:tcW w:type="dxa" w:w="3240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NJ-CYCLE-2026</w:t>
            </w:r>
          </w:p>
        </w:tc>
        <w:tc>
          <w:tcPr>
            <w:tcW w:type="dxa" w:w="1008"/>
            <w:vAlign w:val="center"/>
            <w:shd w:fill="F5F7FA"/>
          </w:tcPr>
          <w:p>
            <w:pPr>
              <w:spacing w:before="80" w:after="8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83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南京市政府换证周期答复</w:t>
            </w:r>
          </w:p>
        </w:tc>
      </w:tr>
      <w:tr>
        <w:tc>
          <w:tcPr>
            <w:tcW w:type="dxa" w:w="3240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NJ-OLD-CARD-2025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spacing w:before="80" w:after="8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南京市政府旧证使用答复</w:t>
            </w:r>
          </w:p>
        </w:tc>
      </w:tr>
      <w:tr>
        <w:tc>
          <w:tcPr>
            <w:tcW w:type="dxa" w:w="3240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LAW-ID-BJ-TRAFFIC-2011</w:t>
            </w:r>
          </w:p>
        </w:tc>
        <w:tc>
          <w:tcPr>
            <w:tcW w:type="dxa" w:w="1008"/>
            <w:vAlign w:val="center"/>
            <w:shd w:fill="F5F7FA"/>
          </w:tcPr>
          <w:p>
            <w:pPr>
              <w:spacing w:before="80" w:after="80" w:line="264" w:lineRule="auto"/>
              <w:jc w:val="center"/>
            </w:pPr>
            <w:r>
              <w:rPr>
                <w:b w:val="0"/>
                <w:sz w:val="20"/>
              </w:rPr>
              <w:t>93</w:t>
            </w:r>
          </w:p>
        </w:tc>
        <w:tc>
          <w:tcPr>
            <w:tcW w:type="dxa" w:w="583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北京交管公布的2011年修正居民身份证法</w:t>
            </w:r>
          </w:p>
        </w:tc>
      </w:tr>
    </w:tbl>
    <w:p>
      <w:pPr>
        <w:spacing w:after="20"/>
      </w:pPr>
    </w:p>
    <w:p>
      <w:pPr>
        <w:pStyle w:val="Heading2"/>
      </w:pPr>
      <w:r>
        <w:t>来源与许可边界</w:t>
      </w:r>
    </w:p>
    <w:p>
      <w:r>
        <w:t>本轮四份HTML均实际返回200，既有正文未观察到政策变化。新增法律来源属于受控登记范围增加，不能称为官网发布新政策。robots观察和请求回执保留；访问停止、正文或元数据变化须进入复核，不自动恢复。</w:t>
      </w:r>
    </w:p>
    <w:p>
      <w:pPr>
        <w:pStyle w:val="Heading2"/>
      </w:pPr>
      <w:r>
        <w:t>OCR交接职责</w:t>
      </w:r>
    </w:p>
    <w:p>
      <w:r>
        <w:t>OCR由队友负责实现，本轮只调用仓库已有Windows OCR接口一次，上游两份实现哈希未变，无新模型或识别引擎。真实四页返回通过现有契约校验，保存原始识别与可检索派生文本到隔离候选库；复核记录、发布版本和发布头均为0。</w:t>
      </w:r>
    </w:p>
    <w:p>
      <w:r>
        <w:t>AI查看印刷页651至654。第1页混有修改决定与重公布法律，第4页法律末尾下方另起草案说明，不能将整个PDF等同法条。抽查可见缺字、错字及双栏顺序问题，未用模板修补。第2页的交回原证和六十日等锚点仅为观察，不代表逐字识别正确率。OCR仍待人工核对与文类切分，尚未用于发布问答证据。</w:t>
      </w:r>
    </w:p>
    <w:p>
      <w:r>
        <w:t>来源索引与完整定位见 docs/南京真实事项来源与规则复核包.md；识别原始返回、请求和视觉边界见 data/real-matter-closure/nanjing/ocr-handoff/ 与 evidence/real-matter-closure/ocr-handoff/。</w:t>
      </w:r>
    </w:p>
    <w:p>
      <w:r>
        <w:br w:type="page"/>
      </w:r>
    </w:p>
    <w:p>
      <w:pPr>
        <w:pStyle w:val="Heading1"/>
      </w:pPr>
      <w:r>
        <w:t>低资源本体与跨文档推导</w:t>
      </w:r>
    </w:p>
    <w:p>
      <w:r>
        <w:t>当前方案使用少量种子关系及来源绑定模板提出候选，保留引用、范围、日期和人工待核标记。程序执行类型和引用校验，模型只负责宿主指导的工具编排。此实现不等同模型自主发现本体，也未测量低资源标注效率优势。</w:t>
      </w:r>
    </w:p>
    <w:p>
      <w:pPr>
        <w:pStyle w:val="Heading2"/>
      </w:pPr>
      <w:r>
        <w:t>演化对照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5472"/>
        <w:gridCol w:w="2304"/>
      </w:tblGrid>
      <w:tr>
        <w:trPr>
          <w:tblHeader/>
        </w:trPr>
        <w:tc>
          <w:tcPr>
            <w:tcW w:type="dxa" w:w="2304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5472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来源与本体</w:t>
            </w:r>
          </w:p>
        </w:tc>
        <w:tc>
          <w:tcPr>
            <w:tcW w:type="dxa" w:w="2304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旧证生命周期查询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基线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3来源49段 种子本体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停止完整推导</w:t>
            </w:r>
          </w:p>
        </w:tc>
      </w:tr>
      <w:tr>
        <w:tc>
          <w:tcPr>
            <w:tcW w:type="dxa" w:w="2304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仅增来源</w:t>
            </w:r>
          </w:p>
        </w:tc>
        <w:tc>
          <w:tcPr>
            <w:tcW w:type="dxa" w:w="547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4来源142段 种子本体</w:t>
            </w:r>
          </w:p>
        </w:tc>
        <w:tc>
          <w:tcPr>
            <w:tcW w:type="dxa" w:w="2304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仍停止完整推导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关系演化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4来源142段 新关系及组合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4路径 1候选结论</w:t>
            </w:r>
          </w:p>
        </w:tc>
      </w:tr>
    </w:tbl>
    <w:p>
      <w:pPr>
        <w:spacing w:after="20"/>
      </w:pPr>
    </w:p>
    <w:p>
      <w:r>
        <w:t>候选关系连接办理期间使用条件、办理和领取阶段顺序，以及法律中的交回原证义务。阶段顺序是显式工程流程种子，不能冒充法律原文。地方来源有两处相关原文，法律HTML有修改决定与重公布条文两处对应内容，组合为四条替代证明，不是四个独立问题。</w:t>
      </w:r>
    </w:p>
    <w:p>
      <w:pPr>
        <w:spacing w:line="252" w:lineRule="auto"/>
      </w:pPr>
      <w:r>
        <w:rPr>
          <w:rFonts w:ascii="Consolas" w:hAnsi="Consolas"/>
          <w:sz w:val="19"/>
        </w:rPr>
        <w:t>地方原文及条件 → 旧证在办理阶段可用</w:t>
        <w:br/>
        <w:t>流程种子 → 办理阶段先于领取阶段</w:t>
        <w:br/>
        <w:t>法律原文 → 领取新证时交回原证</w:t>
        <w:br/>
        <w:t>带类型的组合 → 条件限定的候选生命周期说明</w:t>
      </w:r>
    </w:p>
    <w:p>
      <w:pPr>
        <w:pStyle w:val="Heading2"/>
      </w:pPr>
      <w:r>
        <w:t>可追溯与停止</w:t>
      </w:r>
    </w:p>
    <w:p>
      <w:r>
        <w:t>每条证据绑定source_id、segment_id、原文SHA256和定位；持久版本封存原件及候选依赖。缺少关键资料、引用覆盖不足、版本切换竞争、来源暂停或新鲜度失效时停止。旧任务继续固定旧版，但历史答复也叠加当前来源控制，不能通过回退绕过暂停。</w:t>
      </w:r>
    </w:p>
    <w:p>
      <w:r>
        <w:t>更新工程版本及实际对照见 evidence/real-matter-closure/update-cycle/；确定性重算与开发用例不代替独立业务评测或人工核定。</w:t>
      </w:r>
    </w:p>
    <w:p>
      <w:r>
        <w:br w:type="page"/>
      </w:r>
    </w:p>
    <w:p>
      <w:pPr>
        <w:pStyle w:val="Heading1"/>
      </w:pPr>
      <w:r>
        <w:t>Nexent编排与执行约束</w:t>
      </w:r>
    </w:p>
    <w:p>
      <w:r>
        <w:t>实际平台使用已登记的Qwen3 8B主控和两个Qwen3 4B子Agent，连接本机Ollama。主控绑定项目Skill，子Agent分别仅绑定自己的叶子工具。新草稿禁用且未发布，登记前后核对原有Agent的模型、工具、Skill、子Agent和提示词签名；不读取凭据给模型。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128"/>
      </w:tblGrid>
      <w:tr>
        <w:trPr>
          <w:tblHeader/>
        </w:trPr>
        <w:tc>
          <w:tcPr>
            <w:tcW w:type="dxa" w:w="2952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7128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实际职责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govmatter_open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固定公开场景 开任务并固定版本</w:t>
            </w:r>
          </w:p>
        </w:tc>
      </w:tr>
      <w:tr>
        <w:tc>
          <w:tcPr>
            <w:tcW w:type="dxa" w:w="295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govmatter_retrieve</w:t>
            </w:r>
          </w:p>
        </w:tc>
        <w:tc>
          <w:tcPr>
            <w:tcW w:type="dxa" w:w="7128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检索子Agent取得来源原文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govmatter_verify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核验子Agent检查引用覆盖及类型推导</w:t>
            </w:r>
          </w:p>
        </w:tc>
      </w:tr>
      <w:tr>
        <w:tc>
          <w:tcPr>
            <w:tcW w:type="dxa" w:w="295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govmatter_state</w:t>
            </w:r>
          </w:p>
        </w:tc>
        <w:tc>
          <w:tcPr>
            <w:tcW w:type="dxa" w:w="7128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主控读取真实持久阶段并确认核验结果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govmatter_finalize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重查当前控制 返回原样候选结果</w:t>
            </w:r>
          </w:p>
        </w:tc>
      </w:tr>
    </w:tbl>
    <w:p>
      <w:pPr>
        <w:spacing w:after="20"/>
      </w:pPr>
    </w:p>
    <w:p>
      <w:pPr>
        <w:pStyle w:val="Heading2"/>
      </w:pPr>
      <w:r>
        <w:t>返回值数据流</w:t>
      </w:r>
    </w:p>
    <w:p>
      <w:r>
        <w:t>v4解析MCP返回的JSON文本，从开任务结果取得真实ID，再构造两个子Agent任务JSON。单份完整代码动作保留开任务、状态及最终候选标记断言，最终字符串原样交给final_answer。宿主只允许json解析导入，不增加文件、额外网络或发布工具。</w:t>
      </w:r>
    </w:p>
    <w:p>
      <w:r>
        <w:t>本轮v4实际结果为通过，耗时369.2秒，原生请求1次；底层model-attempt开始6次、rollback 3次。具体工具和结果以原始事件及报告为准。</w:t>
      </w:r>
    </w:p>
    <w:p>
      <w:r>
        <w:t>v4活动固定1次与1200秒上限，主控至多2步和512输出token，子Agent各2步和256输出token。此前原2次、v2 1次、v3 1次的失败与计数全部保留。每次原生请求可能包含底层模型重试，不能将二者混算。</w:t>
      </w:r>
    </w:p>
    <w:p>
      <w:r>
        <w:t>当前核验为确定性原文与类型程序检查，没有调用Jev或编造支持分数。本轮未调用云模型，也没有向政务系统提交申请。</w:t>
      </w:r>
    </w:p>
    <w:p>
      <w:r>
        <w:br w:type="page"/>
      </w:r>
    </w:p>
    <w:p>
      <w:pPr>
        <w:pStyle w:val="Heading1"/>
      </w:pPr>
      <w:r>
        <w:t>更新发布与双端权限</w:t>
      </w:r>
    </w:p>
    <w:p>
      <w:r>
        <w:t>更新链路区分资料层和正式业务知识：无变化只记录观察，来源新增或正文元数据变化建立候选，工程发布使用预期头版本进行竞争检查；正式业务知识需要实际维护者复核。用户已明确保留候选，因此本轮只发布工程预览。</w:t>
      </w:r>
    </w:p>
    <w:p>
      <w:r>
        <w:t>群众登录后声明条件并查询，后端固定知识版本。一次性交接码用于将原条件、版本和引用交给工作人员；未分配工作人员不能读取他人案例。工作人员演示确认仍标记非正式业务批准，不把自动账号操作当真人核定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128"/>
      </w:tblGrid>
      <w:tr>
        <w:trPr>
          <w:tblHeader/>
        </w:trPr>
        <w:tc>
          <w:tcPr>
            <w:tcW w:type="dxa" w:w="2952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验收记录</w:t>
            </w:r>
          </w:p>
        </w:tc>
        <w:tc>
          <w:tcPr>
            <w:tcW w:type="dxa" w:w="7128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结果与适用范围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现有Nexent身份更新链路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19项真实HTTP检查 原件更新工程及身份交接</w:t>
            </w:r>
          </w:p>
        </w:tc>
      </w:tr>
      <w:tr>
        <w:tc>
          <w:tcPr>
            <w:tcW w:type="dxa" w:w="295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ZIP解压项目 新Python环境</w:t>
            </w:r>
          </w:p>
        </w:tc>
        <w:tc>
          <w:tcPr>
            <w:tcW w:type="dxa" w:w="7128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19项真实本地HTTP检查 随机工程账户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OCR契约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8项明确夹具检查 另有一次真实接口返回</w:t>
            </w:r>
          </w:p>
        </w:tc>
      </w:tr>
      <w:tr>
        <w:tc>
          <w:tcPr>
            <w:tcW w:type="dxa" w:w="295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v4执行器预检</w:t>
            </w:r>
          </w:p>
        </w:tc>
        <w:tc>
          <w:tcPr>
            <w:tcW w:type="dxa" w:w="7128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4种工具夹具路径 无模型与真实子Agent调用</w:t>
            </w:r>
          </w:p>
        </w:tc>
      </w:tr>
    </w:tbl>
    <w:p>
      <w:pPr>
        <w:spacing w:after="20"/>
      </w:pPr>
    </w:p>
    <w:p>
      <w:r>
        <w:t>两组19项覆盖不同运行环境，但复用了开发场景，不能合计为38个独立业务案例。当前干净Python复现没有重建Nexent容器或在新机器重新加载模型，完整平台迁移仍需单独核查。</w:t>
      </w:r>
    </w:p>
    <w:p>
      <w:pPr>
        <w:pStyle w:val="Heading2"/>
      </w:pPr>
      <w:r>
        <w:t>已知限制与独立评测</w:t>
      </w:r>
    </w:p>
    <w:p>
      <w:r>
        <w:t>独立评测协议及空提交模板已准备，等待真实独立评测人、来源依据和未用于开发的问题组。先冻结参考，再运行预测，按原始问题组隔离同义改写；同时报告正确性、引用、条件、恰当停止和必要基线，不报告尚未取得的分数。</w:t>
      </w:r>
    </w:p>
    <w:p>
      <w:r>
        <w:t>人工规则核定、OCR逐字和文类批准、独立业务评测、最终赛事模板及签收尚未完成。官方模板与当前赛事要求须另行核对，本说明不代替最终材料验收。</w:t>
      </w:r>
    </w:p>
    <w:p>
      <w:r>
        <w:br w:type="page"/>
      </w:r>
    </w:p>
    <w:p>
      <w:pPr>
        <w:pStyle w:val="Heading1"/>
      </w:pPr>
      <w:r>
        <w:t>复现与证据索引</w:t>
      </w:r>
    </w:p>
    <w:p>
      <w:r>
        <w:t>公开项目v1快照包含1448文件，ZIP为20,391,169字节；GitHub下载返回200，SHA256与本地一致。新建Python环境安装39个分发包后，从ZIP解压目录导入关键项目模块并启动双端HTTP，19项检查通过。包内快照固定原提交，v4等后续改动在当前分支另行提交，不能称旧ZIP已包含新修复。</w:t>
      </w:r>
    </w:p>
    <w:p>
      <w:pPr>
        <w:spacing w:line="252" w:lineRule="auto"/>
      </w:pPr>
      <w:r>
        <w:rPr>
          <w:rFonts w:ascii="Consolas" w:hAnsi="Consolas"/>
          <w:sz w:val="19"/>
        </w:rPr>
        <w:t>python -m venv .venv</w:t>
        <w:br/>
        <w:t>.\.venv\Scripts\python.exe -m pip install -r requirements.lock</w:t>
        <w:br/>
        <w:t>.\.venv\Scripts\python.exe -m pip install -r requirements-knowledge.lock</w:t>
        <w:br/>
        <w:t>.\.venv\Scripts\python.exe scripts/verify_matter_update_inputs.py</w:t>
        <w:br/>
        <w:t>.\.venv\Scripts\python.exe scripts/reproduce_matter_project.py</w:t>
        <w:br/>
        <w:t xml:space="preserve">  --runtime .runtime/new-reproduction</w:t>
      </w:r>
    </w:p>
    <w:p>
      <w:r>
        <w:t>上例最后两行表示同一条命令，执行时合并。复现会新建私有随机工程账户、保留隔离暂停终态并关闭自己的HTTP服务。超过归档新鲜度时应停止，不能改抓取日伪装最新；实际刷新和差异复核另走更新链路。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7128"/>
      </w:tblGrid>
      <w:tr>
        <w:trPr>
          <w:tblHeader/>
        </w:trPr>
        <w:tc>
          <w:tcPr>
            <w:tcW w:type="dxa" w:w="2952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证据</w:t>
            </w:r>
          </w:p>
        </w:tc>
        <w:tc>
          <w:tcPr>
            <w:tcW w:type="dxa" w:w="7128"/>
            <w:vAlign w:val="center"/>
            <w:shd w:fill="D9E5EF"/>
          </w:tcPr>
          <w:p>
            <w:pPr>
              <w:spacing w:before="80" w:after="80" w:line="264" w:lineRule="auto"/>
            </w:pPr>
            <w:r>
              <w:rPr>
                <w:b/>
                <w:sz w:val="20"/>
              </w:rPr>
              <w:t>位置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来源与规则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docs/南京真实事项来源与规则复核包.md</w:t>
            </w:r>
          </w:p>
        </w:tc>
      </w:tr>
      <w:tr>
        <w:tc>
          <w:tcPr>
            <w:tcW w:type="dxa" w:w="295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更新工程</w:t>
            </w:r>
          </w:p>
        </w:tc>
        <w:tc>
          <w:tcPr>
            <w:tcW w:type="dxa" w:w="7128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evidence/real-matter-closure/update-cycle/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v4原生实录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evidence/real-matter-closure/native-dataflow-v4/</w:t>
            </w:r>
          </w:p>
        </w:tc>
      </w:tr>
      <w:tr>
        <w:tc>
          <w:tcPr>
            <w:tcW w:type="dxa" w:w="295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OCR原始返回</w:t>
            </w:r>
          </w:p>
        </w:tc>
        <w:tc>
          <w:tcPr>
            <w:tcW w:type="dxa" w:w="7128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data/real-matter-closure/nanjing/ocr-handoff/result-v1/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解压与下载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evidence/real-matter-closure/project-delivery/</w:t>
            </w:r>
          </w:p>
        </w:tc>
      </w:tr>
      <w:tr>
        <w:tc>
          <w:tcPr>
            <w:tcW w:type="dxa" w:w="2952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实际网页截图</w:t>
            </w:r>
          </w:p>
        </w:tc>
        <w:tc>
          <w:tcPr>
            <w:tcW w:type="dxa" w:w="7128"/>
            <w:vAlign w:val="center"/>
            <w:shd w:fill="F5F7FA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evidence/real-matter-closure/web/</w:t>
            </w:r>
          </w:p>
        </w:tc>
      </w:tr>
      <w:tr>
        <w:tc>
          <w:tcPr>
            <w:tcW w:type="dxa" w:w="2952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独立评测协议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before="80" w:after="80" w:line="264" w:lineRule="auto"/>
            </w:pPr>
            <w:r>
              <w:rPr>
                <w:b w:val="0"/>
                <w:sz w:val="20"/>
              </w:rPr>
              <w:t>docs/南京事项独立评测协议.md</w:t>
            </w:r>
          </w:p>
        </w:tc>
      </w:tr>
    </w:tbl>
    <w:p>
      <w:pPr>
        <w:spacing w:after="20"/>
      </w:pPr>
    </w:p>
    <w:p>
      <w:r>
        <w:t>已归档网页截图属于较早工程版本及工程账户演示，不冒充v4模型或当前四来源更新的新截图。Windows五分钟恢复任务继续停用，只有用户明确开启才启用。</w:t>
      </w:r>
    </w:p>
    <w:p>
      <w:r>
        <w:t>本说明事实基准提交为 ccb83c4338e4f0b480ab0ad6906332aa609cc53a。本地账户、运行库、令牌与权重不随公开交付；队友按部署说明在自己的环境登记模型与角色。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南京事项工程候选技术说明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8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8" w:lineRule="auto"/>
      <w:outlineLvl w:val="0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8" w:lineRule="auto"/>
      <w:outlineLvl w:val="1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8" w:lineRule="auto"/>
      <w:contextualSpacing/>
    </w:pPr>
    <w:rPr>
      <w:rFonts w:asciiTheme="majorHAnsi" w:eastAsiaTheme="majorEastAsia" w:hAnsiTheme="majorHAnsi" w:cstheme="majorBidi" w:ascii="宋体" w:hAnsi="宋体" w:eastAsia="黑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