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DB4" w:rsidRDefault="00872DB4" w:rsidP="00872DB4">
      <w:pPr>
        <w:pStyle w:val="FirstParagraph"/>
      </w:pPr>
      <w:r>
        <w:t>82.  November 8, 1710.</w:t>
      </w:r>
      <w:r>
        <w:rPr>
          <w:rStyle w:val="FootnoteReference"/>
        </w:rPr>
        <w:footnoteReference w:id="1"/>
      </w:r>
    </w:p>
    <w:p w:rsidR="00872DB4" w:rsidRDefault="00872DB4" w:rsidP="00872DB4">
      <w:pPr>
        <w:pStyle w:val="OriginalText"/>
        <w:rPr>
          <w:sz w:val="20"/>
          <w:szCs w:val="20"/>
        </w:rPr>
      </w:pP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2"/>
      </w:r>
      <w:r>
        <w:rPr>
          <w:sz w:val="20"/>
          <w:szCs w:val="20"/>
        </w:rPr>
        <w:t xml:space="preserve"> den 8ten 9</w:t>
      </w:r>
      <w:r>
        <w:rPr>
          <w:rStyle w:val="Italics"/>
          <w:sz w:val="20"/>
          <w:szCs w:val="20"/>
        </w:rPr>
        <w:t>bris</w:t>
      </w:r>
      <w:r>
        <w:rPr>
          <w:sz w:val="20"/>
          <w:szCs w:val="20"/>
        </w:rPr>
        <w:t xml:space="preserve"> 1710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etc., etc.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Herren!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Deroselben sehr werthes unterm 21 </w:t>
      </w:r>
      <w:r>
        <w:rPr>
          <w:rStyle w:val="Italics"/>
          <w:sz w:val="20"/>
          <w:szCs w:val="20"/>
        </w:rPr>
        <w:t>passato</w:t>
      </w:r>
      <w:r>
        <w:rPr>
          <w:sz w:val="20"/>
          <w:szCs w:val="20"/>
        </w:rPr>
        <w:t xml:space="preserve"> habe zu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seiner zeit zurecht erhalten, und daraus zu meinem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genügen ersehen, daß die meine vom 30 </w:t>
      </w:r>
      <w:r>
        <w:rPr>
          <w:rStyle w:val="Italics"/>
          <w:sz w:val="20"/>
          <w:szCs w:val="20"/>
        </w:rPr>
        <w:t>7bris</w:t>
      </w:r>
      <w:r>
        <w:rPr>
          <w:sz w:val="20"/>
          <w:szCs w:val="20"/>
        </w:rPr>
        <w:t>, 1 und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4ten verwichenen Monaths mit ihren beylagen Meinen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hochgeehrten Herren wohl eingelieffert worden, auch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dieselbe darab einen gefallen geschöpffet.  Ich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hoffe daß das an Dieselbe unterm 25 </w:t>
      </w:r>
      <w:r>
        <w:rPr>
          <w:rStyle w:val="Italics"/>
          <w:sz w:val="20"/>
          <w:szCs w:val="20"/>
        </w:rPr>
        <w:t>8bris</w:t>
      </w:r>
      <w:r>
        <w:rPr>
          <w:sz w:val="20"/>
          <w:szCs w:val="20"/>
        </w:rPr>
        <w:t xml:space="preserve"> letzthin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abgegebene ebenmäßig wohl werde einkommen und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gleicher gestalten werde auffgenommen worden seÿn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daß M[eine] h[och] g[eehrten] herren daraus werden ersehen haben,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waß es mit denen anfänglich in vorschlag gebrachten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Mößern oder Morästen eigentlich für eine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bewandtnus habe, und was </w:t>
      </w:r>
      <w:r>
        <w:rPr>
          <w:rStyle w:val="Italics"/>
          <w:sz w:val="20"/>
          <w:szCs w:val="20"/>
        </w:rPr>
        <w:t>pro re natâ</w:t>
      </w:r>
      <w:r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 etwann sonsten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für ein </w:t>
      </w:r>
      <w:r>
        <w:rPr>
          <w:rStyle w:val="Italics"/>
          <w:sz w:val="20"/>
          <w:szCs w:val="20"/>
        </w:rPr>
        <w:t>district</w:t>
      </w:r>
      <w:r>
        <w:rPr>
          <w:sz w:val="20"/>
          <w:szCs w:val="20"/>
        </w:rPr>
        <w:t xml:space="preserve"> Landes zur beÿbehaltung der hier-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landischen guten Mennoniten an obiger statt mögte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oder könte in vorschlag gebracht werden. [Seite 2]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Weilen nun annoch sehr ungewiß ob ein lobl[iche]r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Standt Bern zu </w:t>
      </w:r>
      <w:r>
        <w:rPr>
          <w:rStyle w:val="Italics"/>
          <w:sz w:val="20"/>
          <w:szCs w:val="20"/>
        </w:rPr>
        <w:t>disponiren</w:t>
      </w:r>
      <w:r>
        <w:rPr>
          <w:sz w:val="20"/>
          <w:szCs w:val="20"/>
        </w:rPr>
        <w:t>, daß er diese arme leüthe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im Landt dulten und ferners leÿden auch ihnen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"settlement in wooded border of Bern"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erwehnten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district</w:t>
      </w:r>
      <w:r>
        <w:rPr>
          <w:sz w:val="20"/>
          <w:szCs w:val="20"/>
        </w:rPr>
        <w:t xml:space="preserve"> Lands einraumen wolle, und anbeÿ sehr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unsicher, ob undt wann Ihro Königl[iche] May[estät] in Preüsen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Sich wegen ihrer annehmung </w:t>
      </w:r>
      <w:r>
        <w:rPr>
          <w:rStyle w:val="Italics"/>
          <w:sz w:val="20"/>
          <w:szCs w:val="20"/>
        </w:rPr>
        <w:t>finaliter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erklären werden,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dann ob sothane erklärung hiesigem lobl[iche]n Standt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anständig, und endlichen, wann es auch disfals alle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 wichtigkeit hätte, ob diese Leüthe zu </w:t>
      </w:r>
      <w:r>
        <w:rPr>
          <w:rStyle w:val="Italics"/>
          <w:sz w:val="20"/>
          <w:szCs w:val="20"/>
        </w:rPr>
        <w:t>dispon</w:t>
      </w:r>
      <w:r>
        <w:rPr>
          <w:sz w:val="20"/>
          <w:szCs w:val="20"/>
        </w:rPr>
        <w:t>iren,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oder ihnen auch wohl ohne verletzung des gewissens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anzumuthen, daß Sie Sich in ein mit der beschmützlichen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Seüche angestecktes undt von Einwohnern entblößetes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 begeben,  Und aber ich auß M[einen] h[och] g[eehrten] herren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sehr werthem letzterin ersehen wie daß von einigen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unter Ihnen in vorschlag gebracht worden, ob mann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diese von hier verweisende gute Menschen nicht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etwann unter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"settlement in Netherlands"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Gebieth Ihrer Hochmögenden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unterbringen und </w:t>
      </w:r>
      <w:r>
        <w:rPr>
          <w:rStyle w:val="Italics"/>
          <w:sz w:val="20"/>
          <w:szCs w:val="20"/>
        </w:rPr>
        <w:t>placiren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könte, und daß dieselbe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meine geringe Meÿnung hierüber auch gerne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vernehmen mögten:  Alß habe denenselben ohne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fernern zeit verlurst hiermit andienen sollen, daß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es freÿlich das beste, das sicherste und auch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allen hiesigen vor diese Leüthe wohl </w:t>
      </w:r>
      <w:r>
        <w:rPr>
          <w:rStyle w:val="Italics"/>
          <w:sz w:val="20"/>
          <w:szCs w:val="20"/>
        </w:rPr>
        <w:t>intentionirten</w:t>
      </w:r>
      <w:r>
        <w:rPr>
          <w:sz w:val="20"/>
          <w:szCs w:val="20"/>
        </w:rPr>
        <w:t xml:space="preserve">, 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alß mit welchen hierüber in höchstem vertrauwen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schon conferiret, ja auch selbsten ihren härtesten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3] verfolgern, wie Sie mir schon vordeme zu verstehen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gegeben, am angenehmsten undt liebsten wäre, wann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 dieselbe unter der niemahlen genugsam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gepriesenen sehr sanfften Regierung ihrer Hochmögenden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solches zwaren je ehender je besser, unterbringen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undt établiren könte, zumahlen da nicht zu zweifflen,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es werden diese gute Leüthe von selbsten auch weitlieber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nacher Hollandt alß nach Preüßen verreisen undt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lieber ihre hütten beÿ, umb oder unter ihren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Brüdern und glaubens-genossen alß gantz frembten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ihnen unbekandten Leuthen auffschlagen wollen.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anzahl derselben wirdt so gar groß nicht mehr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seÿn, indessen habe ich doch die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"Knopf, Daniel"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Knopff undt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"Wagner, Bernhard"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Wagner, welche sich hinwiederumb schönstens empfehlen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ersuchet, daß Sie Sich beÿ denen würcklich gefangenen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auffs genauwste erkundigen mögten, wie viel Sie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vermeinen, daß von Ihren Brüdern und Schwestern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noch etwann </w:t>
      </w: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ter propter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und überhaubt in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hiesigem </w:t>
      </w:r>
      <w:r>
        <w:rPr>
          <w:rStyle w:val="Italics"/>
          <w:sz w:val="20"/>
          <w:szCs w:val="20"/>
        </w:rPr>
        <w:t>Canton</w:t>
      </w:r>
      <w:r>
        <w:rPr>
          <w:sz w:val="20"/>
          <w:szCs w:val="20"/>
        </w:rPr>
        <w:t xml:space="preserve"> und dessen Nachbahrschafft vorhanden,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damit mann darauff einen ungefähren überschlag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machen und seine mesures darnach nehmen könte.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Sothane </w:t>
      </w:r>
      <w:r>
        <w:rPr>
          <w:rStyle w:val="Italics"/>
          <w:sz w:val="20"/>
          <w:szCs w:val="20"/>
        </w:rPr>
        <w:t>placirung</w:t>
      </w:r>
      <w:r>
        <w:rPr>
          <w:sz w:val="20"/>
          <w:szCs w:val="20"/>
        </w:rPr>
        <w:t xml:space="preserve"> der hierländischen armen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Mennoniten unter dem Gebieth Ihrer hochmögenden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 die entledigung der armen gefangenen und 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publicirung des vormahls gemeldeten freÿheits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4] placats auch mächtig beförderen, sintemahlen mann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allhier </w:t>
      </w:r>
      <w:r>
        <w:rPr>
          <w:rStyle w:val="Italics"/>
          <w:sz w:val="20"/>
          <w:szCs w:val="20"/>
        </w:rPr>
        <w:t>resolviret</w:t>
      </w:r>
      <w:r>
        <w:rPr>
          <w:sz w:val="20"/>
          <w:szCs w:val="20"/>
        </w:rPr>
        <w:t xml:space="preserve"> in dieser sachen nichts mehr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fürzunehmen, ehe und bevor mann die endliche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resolution</w:t>
      </w:r>
      <w:r>
        <w:rPr>
          <w:sz w:val="20"/>
          <w:szCs w:val="20"/>
        </w:rPr>
        <w:t xml:space="preserve"> von Ihrer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"Friedrich Wilhelm, King of Prussia"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Königl[ichen] May[estä]t in Preüßen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vernommen, und gesehen, ob solche anständig oder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nicht, welche saumseelichkeit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aber gäntzlich </w:t>
      </w:r>
      <w:r>
        <w:rPr>
          <w:rStyle w:val="Italics"/>
          <w:sz w:val="20"/>
          <w:szCs w:val="20"/>
        </w:rPr>
        <w:t>cessiren</w:t>
      </w:r>
      <w:r>
        <w:rPr>
          <w:rStyle w:val="FootnoteReference"/>
          <w:sz w:val="20"/>
          <w:szCs w:val="20"/>
        </w:rPr>
        <w:footnoteReference w:id="8"/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würde, wann mann vernehmen solte, daß Ihro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Hochmögende solche anzunehmen und unter ihrem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gebieth niedersitzen zu laßen gesinnet, weilen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 solchen fals allhier von Preüßen gäntzlich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lastRenderedPageBreak/>
        <w:t>abstrahiren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und demnach die sache bestmöglichst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beförderen und so einem erwünschten ende zu-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bringen alles ernsts trachten würde.  Meine Hochgeehrte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Herren seÿen dann so gutt und berichten mich mit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nächstem was in derer vorseÿenden versamblung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dishalbs </w:t>
      </w:r>
      <w:r>
        <w:rPr>
          <w:rStyle w:val="Italics"/>
          <w:sz w:val="20"/>
          <w:szCs w:val="20"/>
        </w:rPr>
        <w:t>finaliter</w:t>
      </w:r>
      <w:r>
        <w:rPr>
          <w:sz w:val="20"/>
          <w:szCs w:val="20"/>
        </w:rPr>
        <w:t xml:space="preserve"> abgefasset und beschlossen worden,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damit, fals mann gutt undt thunlich befunden dieselbe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beÿ, umb oder unter Ihnen zu placiren, ich so gleich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hand an das werck schlagen und daßelbe mit der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hülff des Allerhöchsten und dem beÿstandt der guten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Freünden auff das bestmöglichste zu seiner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desiderir</w:t>
      </w:r>
      <w:r>
        <w:rPr>
          <w:sz w:val="20"/>
          <w:szCs w:val="20"/>
        </w:rPr>
        <w:t>enten endeschafft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befördern möge. 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In dessen habe Meinen hochgeehrten herren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ferners berichten sollen, daß die übersande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"confession of faith:100 copies sent"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glaubens-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bekandnus endlichen ankommen, und daß würcklichen in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5] deren </w:t>
      </w:r>
      <w:r>
        <w:rPr>
          <w:rStyle w:val="Italics"/>
          <w:sz w:val="20"/>
          <w:szCs w:val="20"/>
        </w:rPr>
        <w:t>distribui</w:t>
      </w:r>
      <w:r>
        <w:rPr>
          <w:sz w:val="20"/>
          <w:szCs w:val="20"/>
        </w:rPr>
        <w:t>rung begriffen, wie auch die sachen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under der Handt zu </w:t>
      </w:r>
      <w:r>
        <w:rPr>
          <w:rStyle w:val="Italics"/>
          <w:sz w:val="20"/>
          <w:szCs w:val="20"/>
        </w:rPr>
        <w:t>disponi</w:t>
      </w:r>
      <w:r>
        <w:rPr>
          <w:sz w:val="20"/>
          <w:szCs w:val="20"/>
        </w:rPr>
        <w:t>ren, damit, wann 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dermahleins zum abtrucken kommen solte, solche desto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besser und geschwinder von statten gehen möge, wie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 zu dem ende hin die </w:t>
      </w:r>
      <w:r>
        <w:rPr>
          <w:rStyle w:val="Italics"/>
          <w:sz w:val="20"/>
          <w:szCs w:val="20"/>
        </w:rPr>
        <w:t>placirung</w:t>
      </w:r>
      <w:r>
        <w:rPr>
          <w:sz w:val="20"/>
          <w:szCs w:val="20"/>
        </w:rPr>
        <w:t xml:space="preserve"> der hierländischen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Mennoniten in denen Niederlanden, wann solches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anderst immer thulich und möglich, Meinen hochgeehrten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nochmahlen </w:t>
      </w:r>
      <w:r>
        <w:rPr>
          <w:rStyle w:val="Italics"/>
          <w:sz w:val="20"/>
          <w:szCs w:val="20"/>
        </w:rPr>
        <w:t>de meliori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will </w:t>
      </w:r>
      <w:r>
        <w:rPr>
          <w:rStyle w:val="Italics"/>
          <w:sz w:val="20"/>
          <w:szCs w:val="20"/>
        </w:rPr>
        <w:t>recommandiert</w:t>
      </w:r>
      <w:r>
        <w:rPr>
          <w:sz w:val="20"/>
          <w:szCs w:val="20"/>
        </w:rPr>
        <w:t xml:space="preserve"> und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Sie darumb inständigst will gebetten und ersuchet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haben, alß der Ich übrigens nebst allseitiger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erlaßung in Gottes starcken gnaden schuts undt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schönster meiner empfehlung in deroselber andächtiges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gebett stetshin bin und verbleibe.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Default="00872DB4" w:rsidP="00872DB4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DB4" w:rsidRDefault="00872DB4" w:rsidP="00872DB4">
      <w:pPr>
        <w:spacing w:after="0" w:line="240" w:lineRule="auto"/>
      </w:pPr>
      <w:r>
        <w:separator/>
      </w:r>
    </w:p>
  </w:endnote>
  <w:endnote w:type="continuationSeparator" w:id="0">
    <w:p w:rsidR="00872DB4" w:rsidRDefault="00872DB4" w:rsidP="0087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DB4" w:rsidRDefault="00872DB4" w:rsidP="00872DB4">
      <w:pPr>
        <w:spacing w:after="0" w:line="240" w:lineRule="auto"/>
      </w:pPr>
      <w:r>
        <w:separator/>
      </w:r>
    </w:p>
  </w:footnote>
  <w:footnote w:type="continuationSeparator" w:id="0">
    <w:p w:rsidR="00872DB4" w:rsidRDefault="00872DB4" w:rsidP="00872DB4">
      <w:pPr>
        <w:spacing w:after="0" w:line="240" w:lineRule="auto"/>
      </w:pPr>
      <w:r>
        <w:continuationSeparator/>
      </w:r>
    </w:p>
  </w:footnote>
  <w:footnote w:id="1">
    <w:p w:rsidR="00872DB4" w:rsidRDefault="00872DB4" w:rsidP="00872DB4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82</w:t>
      </w:r>
      <w:r>
        <w:tab/>
      </w:r>
      <w:r>
        <w:rPr>
          <w:rStyle w:val="FootnoteReference"/>
        </w:rPr>
        <w:tab/>
      </w:r>
      <w:r>
        <w:t xml:space="preserve">This is A 1285 from the De Hoop Scheffer </w:t>
      </w:r>
      <w:r>
        <w:rPr>
          <w:rStyle w:val="Italics"/>
        </w:rPr>
        <w:t>Inventaris</w:t>
      </w:r>
      <w:r>
        <w:t xml:space="preserve">.  </w:t>
      </w:r>
    </w:p>
    <w:p w:rsidR="00872DB4" w:rsidRDefault="00872DB4" w:rsidP="00872DB4">
      <w:pPr>
        <w:pStyle w:val="FootnoteTextTwo"/>
      </w:pPr>
    </w:p>
  </w:footnote>
  <w:footnote w:id="2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872DB4" w:rsidRDefault="00872DB4" w:rsidP="00872DB4">
      <w:pPr>
        <w:pStyle w:val="Footnote-OneDigit"/>
      </w:pPr>
    </w:p>
  </w:footnote>
  <w:footnote w:id="3">
    <w:p w:rsidR="00872DB4" w:rsidRDefault="00872DB4" w:rsidP="00872DB4">
      <w:pPr>
        <w:pStyle w:val="FirstFootnoteinColumnLine"/>
      </w:pPr>
      <w:r>
        <w:rPr>
          <w:vertAlign w:val="superscript"/>
        </w:rPr>
        <w:footnoteRef/>
      </w:r>
      <w:r>
        <w:tab/>
        <w:t>“according to circumstances” (Latin).</w:t>
      </w:r>
    </w:p>
    <w:p w:rsidR="00872DB4" w:rsidRDefault="00872DB4" w:rsidP="00872DB4">
      <w:pPr>
        <w:pStyle w:val="FirstFootnoteinColumnLine"/>
      </w:pPr>
    </w:p>
  </w:footnote>
  <w:footnote w:id="4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“at last, to the very end,” (Late Latin).</w:t>
      </w:r>
    </w:p>
    <w:p w:rsidR="00872DB4" w:rsidRDefault="00872DB4" w:rsidP="00872DB4">
      <w:pPr>
        <w:pStyle w:val="Footnote-OneDigit"/>
      </w:pPr>
    </w:p>
  </w:footnote>
  <w:footnote w:id="5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“to assign one a place” (German).</w:t>
      </w:r>
    </w:p>
    <w:p w:rsidR="00872DB4" w:rsidRDefault="00872DB4" w:rsidP="00872DB4">
      <w:pPr>
        <w:pStyle w:val="Footnote-OneDigit"/>
      </w:pPr>
    </w:p>
  </w:footnote>
  <w:footnote w:id="6">
    <w:p w:rsidR="00872DB4" w:rsidRDefault="00872DB4" w:rsidP="00872DB4">
      <w:pPr>
        <w:pStyle w:val="FirstFootnoteinColumnLine"/>
      </w:pPr>
      <w:r>
        <w:rPr>
          <w:vertAlign w:val="superscript"/>
        </w:rPr>
        <w:footnoteRef/>
      </w:r>
      <w:r>
        <w:tab/>
        <w:t>“more or less” (Latin).</w:t>
      </w:r>
    </w:p>
    <w:p w:rsidR="00872DB4" w:rsidRDefault="00872DB4" w:rsidP="00872DB4">
      <w:pPr>
        <w:pStyle w:val="FirstFootnoteinColumnLine"/>
      </w:pPr>
    </w:p>
  </w:footnote>
  <w:footnote w:id="7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Säumigkeit, “slowness, negligence.”</w:t>
      </w:r>
    </w:p>
    <w:p w:rsidR="00872DB4" w:rsidRDefault="00872DB4" w:rsidP="00872DB4">
      <w:pPr>
        <w:pStyle w:val="Footnote-OneDigit"/>
      </w:pPr>
    </w:p>
  </w:footnote>
  <w:footnote w:id="8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“to cease” (German).</w:t>
      </w:r>
    </w:p>
    <w:p w:rsidR="00872DB4" w:rsidRDefault="00872DB4" w:rsidP="00872DB4">
      <w:pPr>
        <w:pStyle w:val="Footnote-OneDigit"/>
      </w:pPr>
    </w:p>
  </w:footnote>
  <w:footnote w:id="9">
    <w:p w:rsidR="00872DB4" w:rsidRDefault="00872DB4" w:rsidP="00872DB4">
      <w:pPr>
        <w:pStyle w:val="FirstFootnoteinColumnLine"/>
      </w:pPr>
      <w:r>
        <w:rPr>
          <w:vertAlign w:val="superscript"/>
        </w:rPr>
        <w:footnoteRef/>
      </w:r>
      <w:r>
        <w:tab/>
        <w:t>“to withdraw, concede” (German).</w:t>
      </w:r>
    </w:p>
    <w:p w:rsidR="00872DB4" w:rsidRDefault="00872DB4" w:rsidP="00872DB4">
      <w:pPr>
        <w:pStyle w:val="FirstFootnoteinColumnLine"/>
      </w:pPr>
    </w:p>
  </w:footnote>
  <w:footnote w:id="10">
    <w:p w:rsidR="00872DB4" w:rsidRDefault="00872DB4" w:rsidP="00872DB4">
      <w:pPr>
        <w:pStyle w:val="Footnote-TwoDigit"/>
      </w:pPr>
      <w:r>
        <w:rPr>
          <w:vertAlign w:val="superscript"/>
        </w:rPr>
        <w:footnoteRef/>
      </w:r>
      <w:r>
        <w:tab/>
        <w:t xml:space="preserve">The </w:t>
      </w:r>
      <w:r>
        <w:rPr>
          <w:rStyle w:val="Italics"/>
        </w:rPr>
        <w:t>e</w:t>
      </w:r>
      <w:r>
        <w:t xml:space="preserve"> between the </w:t>
      </w:r>
      <w:r>
        <w:rPr>
          <w:rStyle w:val="Italics"/>
        </w:rPr>
        <w:t>d</w:t>
      </w:r>
      <w:r>
        <w:t xml:space="preserve"> and the </w:t>
      </w:r>
      <w:r>
        <w:rPr>
          <w:rStyle w:val="Italics"/>
        </w:rPr>
        <w:t>s</w:t>
      </w:r>
      <w:r>
        <w:t xml:space="preserve"> is unclear and seems to be written over another letter.  The Dutch translation interprets zu seiner desiderirenten endeschafft to mean “to its desired outcome.”</w:t>
      </w:r>
    </w:p>
    <w:p w:rsidR="00872DB4" w:rsidRDefault="00872DB4" w:rsidP="00872DB4">
      <w:pPr>
        <w:pStyle w:val="Footnote-TwoDigit"/>
      </w:pPr>
    </w:p>
  </w:footnote>
  <w:footnote w:id="11">
    <w:p w:rsidR="00872DB4" w:rsidRDefault="00872DB4" w:rsidP="00872DB4">
      <w:pPr>
        <w:pStyle w:val="Footnote-TwoDigit"/>
      </w:pPr>
      <w:r>
        <w:rPr>
          <w:vertAlign w:val="superscript"/>
        </w:rPr>
        <w:footnoteRef/>
      </w:r>
      <w:r>
        <w:tab/>
        <w:t>Literally, “concerning the better” (Latin).</w:t>
      </w:r>
    </w:p>
    <w:p w:rsidR="00872DB4" w:rsidRDefault="00872DB4" w:rsidP="00872DB4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B4"/>
    <w:rsid w:val="006C7576"/>
    <w:rsid w:val="007D0AF3"/>
    <w:rsid w:val="0084002E"/>
    <w:rsid w:val="00872DB4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0D2CC-40F9-4C1E-943A-3D7DA9F6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872DB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872DB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872DB4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872DB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72DB4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72DB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872DB4"/>
    <w:rPr>
      <w:w w:val="100"/>
      <w:vertAlign w:val="superscript"/>
    </w:rPr>
  </w:style>
  <w:style w:type="character" w:customStyle="1" w:styleId="Italics">
    <w:name w:val="Italics"/>
    <w:uiPriority w:val="99"/>
    <w:rsid w:val="00872DB4"/>
    <w:rPr>
      <w:i/>
      <w:iCs/>
    </w:rPr>
  </w:style>
  <w:style w:type="character" w:customStyle="1" w:styleId="ChapterNumberforFootnote">
    <w:name w:val="Chapter Number for Footnote"/>
    <w:uiPriority w:val="99"/>
    <w:rsid w:val="00872DB4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C45EA5-8143-44FD-8F06-59D8F254754B}"/>
</file>

<file path=customXml/itemProps2.xml><?xml version="1.0" encoding="utf-8"?>
<ds:datastoreItem xmlns:ds="http://schemas.openxmlformats.org/officeDocument/2006/customXml" ds:itemID="{2AA2042D-D289-441A-8044-3CB396202797}"/>
</file>

<file path=customXml/itemProps3.xml><?xml version="1.0" encoding="utf-8"?>
<ds:datastoreItem xmlns:ds="http://schemas.openxmlformats.org/officeDocument/2006/customXml" ds:itemID="{781BDA71-9F50-4A75-B0FC-6F9673E561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2023-07-31T17:11:00Z</dcterms:created>
  <dcterms:modified xsi:type="dcterms:W3CDTF">2023-07-31T17:11:00Z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