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36, </w:t>
      </w:r>
      <w:r>
        <w:t xml:space="preserve">01 May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184-86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May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Burcki, Hans, Brechtbuhl, Benedict, Zaller, Melchior, Rupp, Hans and Donens, Peter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3243B" w:rsidRDefault="0093243B" w:rsidP="0093243B">
      <w:pPr>
        <w:pStyle w:val="FirstParagraph"/>
      </w:pPr>
      <w:r>
        <w:t>36.  May 1, 1710.</w:t>
      </w:r>
      <w:r>
        <w:rPr>
          <w:rStyle w:val="FootnoteReference"/>
        </w:rPr>
        <w:footnoteReference w:id="12"/>
      </w:r>
    </w:p>
    <w:p w:rsidR="0093243B" w:rsidRDefault="0093243B" w:rsidP="0093243B">
      <w:pPr>
        <w:pStyle w:val="OriginalText"/>
        <w:rPr>
          <w:sz w:val="21"/>
          <w:szCs w:val="21"/>
        </w:rPr>
      </w:pPr>
    </w:p>
    <w:p w:rsidR="0093243B" w:rsidRDefault="0093243B" w:rsidP="009324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Copia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Op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Bern:reasons for persecution"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beschuldiging van de hooge Overigheijt van Bern is ons ant-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woordt als volgt. Eerstelijk gelooven en belijden wij dat het ampt der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Overigheijt van God den Almagtigen verordineert is, tot het st[r]affen van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boosen, en tot bescherming van de goede Romeijne[n] 13, en dat ider Christen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mensch derhalven schuldig is haer als Godts dienaers te erkennen, en haer niet al-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leen daer voor erkennen, maer haer alle gehoorsaemheijt sonder wederstreven</w:t>
      </w:r>
    </w:p>
    <w:p w:rsidR="0093243B" w:rsidRDefault="0093243B" w:rsidP="0093243B">
      <w:pPr>
        <w:pStyle w:val="OriginalText"/>
        <w:rPr>
          <w:w w:val="94"/>
          <w:sz w:val="18"/>
          <w:szCs w:val="18"/>
        </w:rPr>
      </w:pPr>
      <w:r>
        <w:rPr>
          <w:w w:val="94"/>
          <w:sz w:val="18"/>
          <w:szCs w:val="18"/>
        </w:rPr>
        <w:t>schuldig is, en ook god voor haer welstandt bidden, op dat wij onder haer een stil, en gerust</w:t>
      </w:r>
    </w:p>
    <w:p w:rsidR="0093243B" w:rsidRDefault="0093243B" w:rsidP="0093243B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leven voeren mogen, </w:t>
      </w:r>
      <w:r>
        <w:rPr>
          <w:w w:val="98"/>
          <w:sz w:val="18"/>
          <w:szCs w:val="18"/>
        </w:rPr>
        <w:fldChar w:fldCharType="begin"/>
      </w:r>
      <w:r>
        <w:rPr>
          <w:w w:val="98"/>
          <w:sz w:val="18"/>
          <w:szCs w:val="18"/>
        </w:rPr>
        <w:instrText>xe "zzScripture Index:I Timothy 2"</w:instrText>
      </w:r>
      <w:r>
        <w:rPr>
          <w:w w:val="98"/>
          <w:sz w:val="18"/>
          <w:szCs w:val="18"/>
        </w:rPr>
        <w:fldChar w:fldCharType="end"/>
      </w:r>
      <w:r>
        <w:rPr>
          <w:w w:val="98"/>
          <w:sz w:val="18"/>
          <w:szCs w:val="18"/>
        </w:rPr>
        <w:t>1 tim. 2 En aen den selven geven wat men schuldig is, Tol, schatting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alle Eer, onderdanigheijd en Ere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Index:Romans 13"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Romijn. 13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Index:Titus 3"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tit. 3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Index:I Peter 2"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1 Pet. 2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Wat den Eet betreft daer van Geloven wij dat na de woorden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van Christus bij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Index:Matthew 5"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Math. 5 ons Ja moet zijn dat ja is, en ons neen dat neen is,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bij welke woorden wij v[er]staen dat wij soo kragtig verbonden zijn</w:t>
      </w:r>
      <w:r>
        <w:rPr>
          <w:rStyle w:val="FootnoteReference"/>
          <w:sz w:val="19"/>
          <w:szCs w:val="19"/>
        </w:rPr>
        <w:footnoteReference w:id="13"/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als alle anderen die den Eet sweeren,</w:t>
      </w:r>
      <w:r>
        <w:rPr>
          <w:rStyle w:val="FootnoteReference"/>
          <w:sz w:val="19"/>
          <w:szCs w:val="19"/>
        </w:rPr>
        <w:footnoteReference w:id="14"/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wij gelooven dat wanneer wij ons Ja, of neen overtreden, dat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wij dan Godts gebodt overtreeden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Wat de bescherming van het Vaderlant betreft, daer van wij beschuldigt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werden, dat wij ons geheel willen onttrekken,</w:t>
      </w:r>
      <w:r>
        <w:rPr>
          <w:rStyle w:val="FootnoteReference"/>
          <w:sz w:val="19"/>
          <w:szCs w:val="19"/>
        </w:rPr>
        <w:footnoteReference w:id="15"/>
      </w:r>
      <w:r>
        <w:rPr>
          <w:sz w:val="19"/>
          <w:szCs w:val="19"/>
        </w:rPr>
        <w:t xml:space="preserve"> daerop antwoorden wij aldus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dat wij de overigheijt voor schut en scherm, gelt geven willen soo veel als Ons</w:t>
      </w:r>
    </w:p>
    <w:p w:rsidR="0093243B" w:rsidRDefault="0093243B" w:rsidP="0093243B">
      <w:pPr>
        <w:pStyle w:val="OriginalText"/>
        <w:rPr>
          <w:w w:val="97"/>
          <w:sz w:val="18"/>
          <w:szCs w:val="18"/>
        </w:rPr>
      </w:pPr>
      <w:r>
        <w:rPr>
          <w:w w:val="97"/>
          <w:sz w:val="18"/>
          <w:szCs w:val="18"/>
        </w:rPr>
        <w:t>na ons vermoogen opgelegt werdt en dragen kunnen en in gevalle van noodt, aen de stads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defentie</w:t>
      </w:r>
      <w:r>
        <w:rPr>
          <w:rStyle w:val="FootnoteReference"/>
          <w:sz w:val="19"/>
          <w:szCs w:val="19"/>
        </w:rPr>
        <w:footnoteReference w:id="16"/>
      </w:r>
      <w:r>
        <w:rPr>
          <w:sz w:val="19"/>
          <w:szCs w:val="19"/>
        </w:rPr>
        <w:t xml:space="preserve"> arbijden soo veel mogelijk is.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Dit betuijgen de na volgende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>dit is van de nevenstaende vÿf Parsonen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Hans Burchi</w:t>
      </w:r>
      <w:r>
        <w:rPr>
          <w:rStyle w:val="FootnoteReference"/>
          <w:sz w:val="19"/>
          <w:szCs w:val="19"/>
        </w:rPr>
        <w:footnoteReference w:id="17"/>
      </w:r>
    </w:p>
    <w:p w:rsidR="0093243B" w:rsidRDefault="0093243B" w:rsidP="0093243B">
      <w:pPr>
        <w:pStyle w:val="OriginalText"/>
        <w:tabs>
          <w:tab w:val="left" w:pos="3780"/>
        </w:tabs>
        <w:rPr>
          <w:sz w:val="21"/>
          <w:szCs w:val="21"/>
        </w:rPr>
      </w:pPr>
      <w:r>
        <w:rPr>
          <w:sz w:val="21"/>
          <w:szCs w:val="21"/>
        </w:rPr>
        <w:t>met ÿgen hand onderteykent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Bentz):report from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Benedicht Brechtbul</w:t>
      </w:r>
      <w:r>
        <w:rPr>
          <w:rStyle w:val="FootnoteReference"/>
          <w:sz w:val="21"/>
          <w:szCs w:val="21"/>
        </w:rPr>
        <w:footnoteReference w:id="18"/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"Zahler, Melchior (Melcher):report in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Melchior Zaler</w:t>
      </w:r>
      <w:r>
        <w:rPr>
          <w:rStyle w:val="FootnoteReference"/>
          <w:sz w:val="21"/>
          <w:szCs w:val="21"/>
        </w:rPr>
        <w:footnoteReference w:id="19"/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"Rupp, Hans:report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hans Rupp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"Thönen, Peter (Teune):report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Peter donens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Jn’t jaer 1710 den 1 Meij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geschreeven jn Amsterdam.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declaratie der 5 Switzerse Broeders tot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Amsterdam synde nopende de 3 hooft beschul-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diginge</w:t>
      </w:r>
      <w:r>
        <w:rPr>
          <w:rStyle w:val="FootnoteReference"/>
          <w:sz w:val="19"/>
          <w:szCs w:val="19"/>
        </w:rPr>
        <w:footnoteReference w:id="20"/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3243B" w:rsidRDefault="0093243B" w:rsidP="0093243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36</w:t>
      </w:r>
      <w:r>
        <w:tab/>
      </w:r>
      <w:r>
        <w:rPr>
          <w:rStyle w:val="FootnoteReference"/>
        </w:rPr>
        <w:tab/>
      </w:r>
      <w:r>
        <w:t xml:space="preserve">This is A 1263 from the De Hoop Scheffer </w:t>
      </w:r>
      <w:r>
        <w:rPr>
          <w:rStyle w:val="Italics"/>
        </w:rPr>
        <w:t>Inventaris</w:t>
      </w:r>
      <w:r>
        <w:t xml:space="preserve">.  A transcription of this is also given in Brüsewitz, “Een opmerkelijke ontmoeting,” p. 106.  </w:t>
      </w:r>
    </w:p>
    <w:p w:rsidR="0093243B" w:rsidRDefault="0093243B" w:rsidP="0093243B">
      <w:pPr>
        <w:pStyle w:val="FootnoteText"/>
      </w:pPr>
    </w:p>
  </w:footnote>
  <w:footnote w:id="4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 xml:space="preserve">Here is cancelled: bij ons van deselfde kragt is, en met welke wij ons agten soo vast verbonden te zijn. </w:t>
      </w:r>
    </w:p>
    <w:p w:rsidR="0093243B" w:rsidRDefault="0093243B" w:rsidP="0093243B">
      <w:pPr>
        <w:pStyle w:val="Footnote-OneDigit"/>
      </w:pPr>
    </w:p>
  </w:footnote>
  <w:footnote w:id="5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follows the cancelled words: aen de selven agten verbonden te zijn.</w:t>
      </w:r>
    </w:p>
    <w:p w:rsidR="0093243B" w:rsidRDefault="0093243B" w:rsidP="0093243B">
      <w:pPr>
        <w:pStyle w:val="Footnote-OneDigit"/>
      </w:pPr>
    </w:p>
  </w:footnote>
  <w:footnote w:id="6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nog togt nog wagt doen en willen.</w:t>
      </w:r>
    </w:p>
    <w:p w:rsidR="0093243B" w:rsidRDefault="0093243B" w:rsidP="0093243B">
      <w:pPr>
        <w:pStyle w:val="Footnote-OneDigit"/>
      </w:pPr>
    </w:p>
  </w:footnote>
  <w:footnote w:id="7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wallen.</w:t>
      </w:r>
    </w:p>
    <w:p w:rsidR="0093243B" w:rsidRDefault="0093243B" w:rsidP="0093243B">
      <w:pPr>
        <w:pStyle w:val="Footnote-OneDigit"/>
      </w:pPr>
    </w:p>
  </w:footnote>
  <w:footnote w:id="8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Eltester.</w:t>
      </w:r>
    </w:p>
    <w:p w:rsidR="0093243B" w:rsidRDefault="0093243B" w:rsidP="0093243B">
      <w:pPr>
        <w:pStyle w:val="Footnote-OneDigit"/>
      </w:pPr>
    </w:p>
  </w:footnote>
  <w:footnote w:id="9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Lehrer.</w:t>
      </w:r>
    </w:p>
    <w:p w:rsidR="0093243B" w:rsidRDefault="0093243B" w:rsidP="0093243B">
      <w:pPr>
        <w:pStyle w:val="Footnote-OneDigit"/>
      </w:pPr>
    </w:p>
  </w:footnote>
  <w:footnote w:id="10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Eltester.</w:t>
      </w:r>
    </w:p>
    <w:p w:rsidR="0093243B" w:rsidRDefault="0093243B" w:rsidP="0093243B">
      <w:pPr>
        <w:pStyle w:val="Footnote-OneDigit"/>
      </w:pPr>
    </w:p>
  </w:footnote>
  <w:footnote w:id="11">
    <w:p w:rsidR="0093243B" w:rsidRDefault="0093243B" w:rsidP="0093243B">
      <w:pPr>
        <w:pStyle w:val="FirstFootnoteinColumnLine"/>
      </w:pPr>
      <w:r>
        <w:rPr>
          <w:vertAlign w:val="superscript"/>
        </w:rPr>
        <w:footnoteRef/>
      </w:r>
      <w:r>
        <w:tab/>
        <w:t xml:space="preserve">On the lower half of this page there is an unspecified calculation (additions), which has no relation with the statement on the other side. </w:t>
      </w:r>
    </w:p>
    <w:p w:rsidR="0093243B" w:rsidRDefault="0093243B" w:rsidP="0093243B">
      <w:pPr>
        <w:pStyle w:val="FirstFootnoteinColumnLine"/>
      </w:pPr>
    </w:p>
  </w:footnote>
  <w:footnote w:id="12">
    <w:p w:rsidR="0093243B" w:rsidRDefault="0093243B" w:rsidP="006B4B65">
      <w:pPr>
        <w:pStyle w:val="Footnote-OneDigit"/>
      </w:pPr>
      <w:r>
        <w:rPr>
          <w:vertAlign w:val="superscript"/>
        </w:rPr>
        <w:footnoteRef/>
      </w:r>
      <w:r w:rsidR="006B4B65">
        <w:rPr>
          <w:rStyle w:val="ChapterNumberforFootnote"/>
        </w:rPr>
        <w:t xml:space="preserve"> </w:t>
      </w:r>
      <w:r>
        <w:t xml:space="preserve">This is A 1263 from the De Hoop Scheffer </w:t>
      </w:r>
      <w:r>
        <w:rPr>
          <w:rStyle w:val="Italics"/>
        </w:rPr>
        <w:t>Inventaris</w:t>
      </w:r>
      <w:r>
        <w:t>.  A transcription of this is also given in Brüsewitz, “Een opmerkelijke ontmoeting,” p. 106</w:t>
      </w:r>
      <w:r w:rsidR="006B4B65">
        <w:t>.</w:t>
      </w:r>
    </w:p>
  </w:footnote>
  <w:footnote w:id="13">
    <w:p w:rsidR="0093243B" w:rsidRDefault="0093243B" w:rsidP="006B4B65">
      <w:pPr>
        <w:pStyle w:val="Footnote-OneDigit"/>
      </w:pPr>
      <w:r>
        <w:rPr>
          <w:vertAlign w:val="superscript"/>
        </w:rPr>
        <w:footnoteRef/>
      </w:r>
      <w:r>
        <w:tab/>
        <w:t>Here is cancelled: bij ons van deselfde kragt is, en met welke wij ons agten soo vast verbonden te zijn</w:t>
      </w:r>
      <w:r w:rsidR="006B4B65">
        <w:t>.</w:t>
      </w:r>
    </w:p>
  </w:footnote>
  <w:footnote w:id="14">
    <w:p w:rsidR="0093243B" w:rsidRDefault="0093243B" w:rsidP="006B4B65">
      <w:pPr>
        <w:pStyle w:val="Footnote-OneDigit"/>
      </w:pPr>
      <w:r>
        <w:rPr>
          <w:vertAlign w:val="superscript"/>
        </w:rPr>
        <w:footnoteRef/>
      </w:r>
      <w:r>
        <w:tab/>
        <w:t>Here follows the cancelled words: aen de selven agten verbonden te zijn</w:t>
      </w:r>
      <w:r w:rsidR="006B4B65">
        <w:t>.</w:t>
      </w:r>
    </w:p>
  </w:footnote>
  <w:footnote w:id="15">
    <w:p w:rsidR="0093243B" w:rsidRDefault="0093243B" w:rsidP="006B4B65">
      <w:pPr>
        <w:pStyle w:val="Footnote-OneDigit"/>
      </w:pPr>
      <w:r>
        <w:rPr>
          <w:vertAlign w:val="superscript"/>
        </w:rPr>
        <w:footnoteRef/>
      </w:r>
      <w:r>
        <w:tab/>
        <w:t>Here is cancelled: nog togt nog wagt doen en willen</w:t>
      </w:r>
      <w:r w:rsidR="006B4B65">
        <w:t>.</w:t>
      </w:r>
    </w:p>
  </w:footnote>
  <w:footnote w:id="16">
    <w:p w:rsidR="0093243B" w:rsidRDefault="0093243B" w:rsidP="006B4B65">
      <w:pPr>
        <w:pStyle w:val="Footnote-OneDigit"/>
      </w:pPr>
      <w:r>
        <w:rPr>
          <w:vertAlign w:val="superscript"/>
        </w:rPr>
        <w:footnoteRef/>
      </w:r>
      <w:r>
        <w:tab/>
        <w:t>Here is cancelled: wallen</w:t>
      </w:r>
      <w:r w:rsidR="006B4B65">
        <w:t>.</w:t>
      </w:r>
    </w:p>
  </w:footnote>
  <w:footnote w:id="17">
    <w:p w:rsidR="0093243B" w:rsidRDefault="0093243B" w:rsidP="006B4B65">
      <w:pPr>
        <w:pStyle w:val="Footnote-OneDigit"/>
      </w:pPr>
      <w:r>
        <w:rPr>
          <w:vertAlign w:val="superscript"/>
        </w:rPr>
        <w:footnoteRef/>
      </w:r>
      <w:r>
        <w:tab/>
        <w:t>Here is cancelled: in Eltester</w:t>
      </w:r>
      <w:r w:rsidR="006B4B65">
        <w:t>.</w:t>
      </w:r>
    </w:p>
  </w:footnote>
  <w:footnote w:id="18">
    <w:p w:rsidR="0093243B" w:rsidRDefault="0093243B" w:rsidP="006B4B65">
      <w:pPr>
        <w:pStyle w:val="Footnote-OneDigit"/>
      </w:pPr>
      <w:r>
        <w:rPr>
          <w:vertAlign w:val="superscript"/>
        </w:rPr>
        <w:footnoteRef/>
      </w:r>
      <w:r>
        <w:tab/>
        <w:t>Here is cancelled: in Lehrer</w:t>
      </w:r>
      <w:r w:rsidR="006B4B65">
        <w:t>.</w:t>
      </w:r>
    </w:p>
  </w:footnote>
  <w:footnote w:id="19">
    <w:p w:rsidR="0093243B" w:rsidRDefault="0093243B" w:rsidP="006B4B65">
      <w:pPr>
        <w:pStyle w:val="Footnote-OneDigit"/>
      </w:pPr>
      <w:r>
        <w:rPr>
          <w:vertAlign w:val="superscript"/>
        </w:rPr>
        <w:footnoteRef/>
      </w:r>
      <w:r>
        <w:tab/>
        <w:t>Here is cancelled: in Eltester</w:t>
      </w:r>
      <w:r w:rsidR="006B4B65">
        <w:t>.</w:t>
      </w:r>
    </w:p>
  </w:footnote>
  <w:footnote w:id="20">
    <w:p w:rsidR="0093243B" w:rsidRDefault="0093243B" w:rsidP="006B4B65">
      <w:pPr>
        <w:pStyle w:val="Footnote-OneDigit"/>
      </w:pPr>
      <w:r>
        <w:rPr>
          <w:vertAlign w:val="superscript"/>
        </w:rPr>
        <w:footnoteRef/>
      </w:r>
      <w:r>
        <w:tab/>
        <w:t>On the lower half of this page there is an unspecified calculation (additions), which has no relation with the statement on the other side</w:t>
      </w:r>
      <w:r w:rsidR="006B4B6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324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3243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324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3243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243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3243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3243B"/>
    <w:rPr>
      <w:i/>
      <w:iCs/>
    </w:rPr>
  </w:style>
  <w:style w:type="paragraph" w:customStyle="1" w:styleId="Footnote-OneDigit">
    <w:name w:val="Footnote-One Digit"/>
    <w:basedOn w:val="Normal"/>
    <w:uiPriority w:val="99"/>
    <w:rsid w:val="0093243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3243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