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39, </w:t>
      </w:r>
      <w:r>
        <w:t xml:space="preserve">11 May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52F9" w:rsidRDefault="00CF52F9" w:rsidP="00CF52F9">
      <w:pPr>
        <w:pStyle w:val="FirstParagraph"/>
      </w:pPr>
      <w:r>
        <w:t>39.  May 11, 1710.</w:t>
      </w:r>
      <w:r>
        <w:rPr>
          <w:rStyle w:val="FootnoteReference"/>
        </w:rPr>
        <w:footnoteReference w:id="9"/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den 11 May 1710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 insonders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wertes unterm     Aprilis letzthin habe zwaren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vor etwas Zeits zu recht erhalten, die habende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anderwerte geschäffe aber haben mich bis d</w:t>
      </w:r>
      <w:r>
        <w:rPr>
          <w:rStyle w:val="Italics"/>
          <w:sz w:val="21"/>
          <w:szCs w:val="21"/>
        </w:rPr>
        <w:t>ato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verhindert darauff zu antworten.  In dessen habe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darauß des mehreren ersehen, was sich so wohl </w:t>
      </w:r>
      <w:r>
        <w:rPr>
          <w:rStyle w:val="Italics"/>
          <w:sz w:val="21"/>
          <w:szCs w:val="21"/>
        </w:rPr>
        <w:t>ratione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von Bern verssandten armen Mennoniten auff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reiß und in denen Niederlanden zu getragen,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was in ansehen derselben in der mit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gehaltenen Conferentz passiret.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Letzteres hat mich nicht wenig erfrewet, aber ich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förchte sehr, es werde das erstere die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warin Sie solches in erfahrung bringen woran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zu zweifflen, in ihrem gefaßten wiederwillen gegen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 Leuthe nur je länger je mehr bevestigen, so daß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diejenige so etwann in das Landt zurück kommen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mögten, ihren ungehorsam wohl mit dem leben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bezahlen dürfften.</w:t>
      </w:r>
      <w:r>
        <w:rPr>
          <w:rStyle w:val="FootnoteReference"/>
          <w:sz w:val="21"/>
          <w:szCs w:val="21"/>
        </w:rPr>
        <w:footnoteReference w:id="11"/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In dessen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belieben Meine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denen copeÿlichen beÿlagen zu ersehen, 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Lobl[lichen] Standt Bern so wohl an Ihro Hochmogende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alß auch an Mich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wiederantwort auff unser schreiben gelangen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laßen belieben wollen.  Diese Schreiben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zwaren vom 26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datiret, aber Sie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erst heut vor 8 tagen, und zwaren nicht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complet zu kommen, indeme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original ant-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wort schreiben an Ihre Hochmögende dem meinigen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beÿzuschliesen vergessen worden, und bis auff diese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stund noch nicht einkommen, so daß in erwartung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Ihro Hochmögenden anders noch nichts alß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Copiam</w:t>
      </w:r>
      <w:r>
        <w:rPr>
          <w:sz w:val="21"/>
          <w:szCs w:val="21"/>
        </w:rPr>
        <w:t xml:space="preserve"> zugesandt.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Auß gedachtem schreiben erhöllet, daß im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Lobl[lichen] Standt Bern einmahlen </w:t>
      </w:r>
      <w:r>
        <w:rPr>
          <w:rStyle w:val="Italics"/>
          <w:sz w:val="21"/>
          <w:szCs w:val="21"/>
        </w:rPr>
        <w:t>pro nunc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annoch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seiner meinung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dieser armen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Leuthen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of:officials"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vest bestehen bleibet und darvon nicht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eines haars breit zu weichen gedencket: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unerachtet aber glaube doch nicht, daß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schon außsetzen müße, sondern bin vielmehr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meinung, daß mit der zeit etwann noch etwas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erwehtem </w:t>
      </w:r>
      <w:r>
        <w:rPr>
          <w:rStyle w:val="Italics"/>
          <w:sz w:val="21"/>
          <w:szCs w:val="21"/>
        </w:rPr>
        <w:t>Canton in favor</w:t>
      </w:r>
      <w:r>
        <w:rPr>
          <w:sz w:val="21"/>
          <w:szCs w:val="21"/>
        </w:rPr>
        <w:t xml:space="preserve"> dieser armen Leuthen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erhalten seÿn mögte, wann man sich nur ein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 gedulten kann, und indessen die vormahls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mir an die handt gegebene mittel ins werck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richten trachtet.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allseitiger erlaßung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Gottes starcken gnaden schutz auch empfehlung meiner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 andächtiges gebeth stetshin verharre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sonders Hochgeehrten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Dienstwilligster  Diener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J. Ludwig Runckel.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Copie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"Bern, Canton of:Great (Sovereign) Council"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reponce du L. Canton de Berne à celle que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j’aÿ eu l’honneur de luÿ écrire en luÿ faisant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tenir celle de LL.  HH.  PP.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Wohl Edler, Vester, Ehrender lieber Herr.  Demselben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seÿen Unsere Willige dienst und grüs bevor.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der Herr beliebens tragen wollen, das von Ihro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Hochmögenheiten denen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der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Taüfferen halb abgebene geehrte Schreiben unß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übermachen, darfür sagend Wir hiemit den behörigen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danck, und ersüchent den Herren anbeÿ einliegendes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an Hochgedacht Ihro Hochmögenheiten wiederumb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ohnbeschwärth zu bestellen.  Da benebens der Herr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beÿgefügter Copia ersehen wird, was Wir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ansehen der Taüfferen an Ihro Hochmögenheiten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laßen, mit bitt, solches mit seiner guhten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officien zu begleithen;  Den Herren übrigens Gottes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obhut wohlempfehlende. Dat[iret] 26 Aprilis 1710.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des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fründwillige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Schultheis undt Raht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der Statt Bern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52F9" w:rsidRDefault="00CF52F9" w:rsidP="00CF52F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39</w:t>
      </w:r>
      <w:r>
        <w:tab/>
      </w:r>
      <w:r>
        <w:rPr>
          <w:rStyle w:val="FootnoteReference"/>
        </w:rPr>
        <w:tab/>
      </w:r>
      <w:r>
        <w:t xml:space="preserve">This is A 1264 from the De Hoop Scheffer </w:t>
      </w:r>
      <w:r>
        <w:rPr>
          <w:rStyle w:val="Italics"/>
        </w:rPr>
        <w:t>Inventaris</w:t>
      </w:r>
      <w:r>
        <w:t xml:space="preserve">.  </w:t>
      </w:r>
    </w:p>
    <w:p w:rsidR="00CF52F9" w:rsidRDefault="00CF52F9" w:rsidP="00CF52F9">
      <w:pPr>
        <w:pStyle w:val="FootnoteText"/>
      </w:pPr>
    </w:p>
  </w:footnote>
  <w:footnote w:id="4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52F9" w:rsidRDefault="00CF52F9" w:rsidP="00CF52F9">
      <w:pPr>
        <w:pStyle w:val="Footnote-OneDigit"/>
      </w:pPr>
    </w:p>
  </w:footnote>
  <w:footnote w:id="5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 xml:space="preserve">“may need to, might.” </w:t>
      </w:r>
    </w:p>
    <w:p w:rsidR="00CF52F9" w:rsidRDefault="00CF52F9" w:rsidP="00CF52F9">
      <w:pPr>
        <w:pStyle w:val="Footnote-OneDigit"/>
      </w:pPr>
    </w:p>
  </w:footnote>
  <w:footnote w:id="6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“in the meanwhile.”</w:t>
      </w:r>
    </w:p>
    <w:p w:rsidR="00CF52F9" w:rsidRDefault="00CF52F9" w:rsidP="00CF52F9">
      <w:pPr>
        <w:pStyle w:val="Footnote-OneDigit"/>
      </w:pPr>
    </w:p>
  </w:footnote>
  <w:footnote w:id="7">
    <w:p w:rsidR="00CF52F9" w:rsidRDefault="00CF52F9" w:rsidP="00CF52F9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CF52F9" w:rsidRDefault="00CF52F9" w:rsidP="00CF52F9">
      <w:pPr>
        <w:pStyle w:val="FirstFootnoteinColumnLine"/>
      </w:pPr>
    </w:p>
  </w:footnote>
  <w:footnote w:id="8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>, Latin, ablative singular, “in consideration of,” “with respect to.”  This same usage is found in Document 60, page 1.</w:t>
      </w:r>
    </w:p>
    <w:p w:rsidR="00CF52F9" w:rsidRDefault="00CF52F9" w:rsidP="00CF52F9">
      <w:pPr>
        <w:pStyle w:val="Footnote-OneDigit"/>
      </w:pPr>
    </w:p>
  </w:footnote>
  <w:footnote w:id="9">
    <w:p w:rsidR="00CF52F9" w:rsidRDefault="00CF52F9" w:rsidP="007671B6">
      <w:pPr>
        <w:pStyle w:val="Footnote-OneDigit"/>
      </w:pPr>
      <w:r>
        <w:rPr>
          <w:vertAlign w:val="superscript"/>
        </w:rPr>
        <w:footnoteRef/>
      </w:r>
      <w:r w:rsidR="007671B6">
        <w:rPr>
          <w:rStyle w:val="ChapterNumberforFootnote"/>
        </w:rPr>
        <w:t xml:space="preserve"> </w:t>
      </w:r>
      <w:r>
        <w:t xml:space="preserve">This is A 1264 from the De Hoop Scheffer </w:t>
      </w:r>
      <w:r>
        <w:rPr>
          <w:rStyle w:val="Italics"/>
        </w:rPr>
        <w:t>Inventaris</w:t>
      </w:r>
      <w:r w:rsidR="007671B6">
        <w:t>.</w:t>
      </w:r>
    </w:p>
  </w:footnote>
  <w:footnote w:id="10">
    <w:p w:rsidR="00CF52F9" w:rsidRDefault="00CF52F9" w:rsidP="007671B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7671B6">
        <w:t>.</w:t>
      </w:r>
    </w:p>
  </w:footnote>
  <w:footnote w:id="11">
    <w:p w:rsidR="00CF52F9" w:rsidRDefault="00CF52F9" w:rsidP="007671B6">
      <w:pPr>
        <w:pStyle w:val="Footnote-OneDigit"/>
      </w:pPr>
      <w:r>
        <w:rPr>
          <w:vertAlign w:val="superscript"/>
        </w:rPr>
        <w:footnoteRef/>
      </w:r>
      <w:r>
        <w:tab/>
        <w:t xml:space="preserve">“may need to, might.” </w:t>
      </w:r>
    </w:p>
    <w:p w:rsidR="00CF52F9" w:rsidRDefault="00CF52F9" w:rsidP="007671B6">
      <w:pPr>
        <w:pStyle w:val="Footnote-OneDigit"/>
      </w:pPr>
    </w:p>
  </w:footnote>
  <w:footnote w:id="12">
    <w:p w:rsidR="00CF52F9" w:rsidRDefault="00CF52F9" w:rsidP="007671B6">
      <w:pPr>
        <w:pStyle w:val="Footnote-OneDigit"/>
      </w:pPr>
      <w:r>
        <w:rPr>
          <w:vertAlign w:val="superscript"/>
        </w:rPr>
        <w:footnoteRef/>
      </w:r>
      <w:r>
        <w:tab/>
        <w:t>“in the meanwhile</w:t>
      </w:r>
      <w:r w:rsidR="007671B6">
        <w:t>.</w:t>
      </w:r>
    </w:p>
  </w:footnote>
  <w:footnote w:id="13">
    <w:p w:rsidR="00CF52F9" w:rsidRDefault="00CF52F9" w:rsidP="007671B6">
      <w:pPr>
        <w:pStyle w:val="Footnote-OneDigit"/>
      </w:pPr>
      <w:r>
        <w:rPr>
          <w:vertAlign w:val="superscript"/>
        </w:rPr>
        <w:footnoteRef/>
      </w:r>
      <w:r>
        <w:tab/>
        <w:t>“for now” (Latin)</w:t>
      </w:r>
      <w:r w:rsidR="007671B6">
        <w:t>.</w:t>
      </w:r>
    </w:p>
  </w:footnote>
  <w:footnote w:id="14">
    <w:p w:rsidR="00CF52F9" w:rsidRDefault="00CF52F9" w:rsidP="007671B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>, Latin, ablative singular, “in consideration of,” “with respect to.”  This same usage is found in Document 60, page 1</w:t>
      </w:r>
      <w:r w:rsidR="007671B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52F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52F9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F52F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52F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52F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52F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52F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