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71, </w:t>
      </w:r>
      <w:r>
        <w:t xml:space="preserve">08 October 1710, translation," in </w:t>
      </w:r>
      <w:r>
        <w:rPr>
          <w:i/>
        </w:rPr>
        <w:t>Documents of Brotherly Love: Dutch Mennonite Aid to Swiss Anabaptists</w:t>
      </w:r>
      <w:r>
        <w:t xml:space="preserve"> (Millersburg, OH: Ohio Amish Library), 395.</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08 October 1710</w:t>
      </w:r>
    </w:p>
    <w:p w14:paraId="1E41C2EC" w14:textId="4C8BED9E" w:rsidR="001B5C66" w:rsidRPr="00F362B5" w:rsidRDefault="001B5C66" w:rsidP="007E6ED7">
      <w:pPr>
        <w:rPr>
          <w:b/>
          <w:bCs/>
        </w:rPr>
      </w:pPr>
      <w:r w:rsidRPr="00F362B5">
        <w:rPr>
          <w:b/>
          <w:bCs/>
        </w:rPr>
      </w:r>
      <w:r>
        <w:rPr>
          <w:b/>
        </w:rPr>
        <w:t xml:space="preserve">Sender: </w:t>
      </w:r>
      <w:r>
        <w:tab/>
        <w:tab/>
      </w:r>
      <w:r>
        <w:t>D'orville, Jacob Philippe</w:t>
      </w:r>
    </w:p>
    <w:p w14:paraId="4760F9DB" w14:textId="6D4D60EA" w:rsidR="001B5C66" w:rsidRPr="00F362B5" w:rsidRDefault="001B5C66" w:rsidP="007E6ED7">
      <w:pPr>
        <w:rPr>
          <w:b/>
          <w:bCs/>
        </w:rPr>
      </w:pPr>
      <w:r w:rsidRPr="00F362B5">
        <w:rPr>
          <w:b/>
          <w:bCs/>
        </w:rPr>
      </w:r>
      <w:r>
        <w:rPr>
          <w:b/>
        </w:rPr>
        <w:t xml:space="preserve">Sender Place: </w:t>
      </w:r>
      <w:r>
        <w:tab/>
      </w:r>
      <w:r>
        <w:t>Frankfurt, Germany</w:t>
      </w:r>
    </w:p>
    <w:p w14:paraId="7145AB74" w14:textId="78AC5946" w:rsidR="001B5C66" w:rsidRPr="00F362B5" w:rsidRDefault="001B5C66" w:rsidP="007E6ED7">
      <w:pPr>
        <w:rPr>
          <w:b/>
          <w:bCs/>
        </w:rPr>
      </w:pPr>
      <w:r w:rsidRPr="00F362B5">
        <w:rPr>
          <w:b/>
          <w:bCs/>
        </w:rPr>
      </w:r>
      <w:r>
        <w:rPr>
          <w:b/>
        </w:rPr>
        <w:t xml:space="preserve">Receiver: </w:t>
      </w:r>
      <w:r>
        <w:tab/>
        <w:tab/>
      </w:r>
      <w:r>
        <w:t>Schijn, Doctor Hermannus and Fries, Abraham Jacob</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8078A6" w:rsidRDefault="008078A6" w:rsidP="008078A6">
      <w:pPr>
        <w:pStyle w:val="FirstParagraph"/>
        <w:rPr>
          <w:rStyle w:val="Italics"/>
        </w:rPr>
      </w:pPr>
      <w:r>
        <w:t>71.  October 8, 1710.</w:t>
      </w:r>
      <w:r>
        <w:rPr>
          <w:rStyle w:val="Italics"/>
        </w:rPr>
        <w:t> </w:t>
      </w:r>
      <w:r>
        <w:rPr>
          <w:rStyle w:val="Italics"/>
        </w:rPr>
        <w:t>From Philippe d’Orville, businessman-banker, to Hermannus Schijn and Abraham Fries reporting the safe arrival of a package of books, a letter, etc., and to accompany two letters from Mannheim.</w:t>
      </w:r>
    </w:p>
    <w:p w:rsidR="008078A6" w:rsidRDefault="008078A6" w:rsidP="008078A6">
      <w:pPr>
        <w:pStyle w:val="EnglishText"/>
      </w:pPr>
    </w:p>
    <w:p w:rsidR="008078A6" w:rsidRDefault="008078A6" w:rsidP="008078A6">
      <w:pPr>
        <w:pStyle w:val="EnglishText"/>
      </w:pPr>
      <w:r>
        <w:t>[recto]</w:t>
      </w:r>
    </w:p>
    <w:p w:rsidR="008078A6" w:rsidRDefault="008078A6" w:rsidP="008078A6">
      <w:pPr>
        <w:pStyle w:val="EnglishText"/>
      </w:pPr>
    </w:p>
    <w:p w:rsidR="008078A6" w:rsidRDefault="008078A6" w:rsidP="008078A6">
      <w:pPr>
        <w:pStyle w:val="EnglishText"/>
        <w:tabs>
          <w:tab w:val="left" w:pos="3980"/>
        </w:tabs>
      </w:pPr>
      <w:r>
        <w:t>Dr. Hermannus Schijn &amp; Mr.</w:t>
      </w:r>
      <w:r>
        <w:tab/>
        <w:t>Frankfort, October 8, 1710.</w:t>
      </w:r>
    </w:p>
    <w:p w:rsidR="008078A6" w:rsidRDefault="008078A6" w:rsidP="008078A6">
      <w:pPr>
        <w:pStyle w:val="EnglishText"/>
      </w:pPr>
      <w:r>
        <w:t>Abraham Jacobs Fries</w:t>
      </w:r>
    </w:p>
    <w:p w:rsidR="008078A6" w:rsidRDefault="008078A6" w:rsidP="008078A6">
      <w:pPr>
        <w:pStyle w:val="EnglishText"/>
      </w:pPr>
    </w:p>
    <w:p w:rsidR="008078A6" w:rsidRDefault="008078A6" w:rsidP="008078A6">
      <w:pPr>
        <w:pStyle w:val="EnglishText"/>
      </w:pPr>
      <w:r>
        <w:t xml:space="preserve">Sirs: </w:t>
      </w:r>
    </w:p>
    <w:p w:rsidR="008078A6" w:rsidRDefault="008078A6" w:rsidP="008078A6">
      <w:pPr>
        <w:pStyle w:val="EnglishText"/>
      </w:pPr>
      <w:r>
        <w:t xml:space="preserve">     I have received your welcome letter of the 23</w:t>
      </w:r>
      <w:r>
        <w:rPr>
          <w:rStyle w:val="FootnoteReference"/>
        </w:rPr>
        <w:t>rd</w:t>
      </w:r>
      <w:r>
        <w:t xml:space="preserve"> of last month, but only sent the 26</w:t>
      </w:r>
      <w:r>
        <w:rPr>
          <w:rStyle w:val="FootnoteReference"/>
        </w:rPr>
        <w:t>th</w:t>
      </w:r>
      <w:r>
        <w:t>, as well as the little package of books I.L.R.,</w:t>
      </w:r>
      <w:r>
        <w:rPr>
          <w:rStyle w:val="FootnoteReference"/>
        </w:rPr>
        <w:footnoteReference w:id="4"/>
      </w:r>
      <w:r>
        <w:t xml:space="preserve"> which I have sent today according to your instruction, concerning which you will no doubt receive news at the appropriate time, and similarly hope this sincerely for your brothers living in the Bern area.  This I wish heartily, and it will always be a great pleasure to me to serve the friends in any way I can. Herewith with cordial greetings and commendation to God, I remain,</w:t>
      </w:r>
    </w:p>
    <w:p w:rsidR="008078A6" w:rsidRDefault="008078A6" w:rsidP="008078A6">
      <w:pPr>
        <w:pStyle w:val="EnglishText"/>
        <w:tabs>
          <w:tab w:val="left" w:pos="3600"/>
        </w:tabs>
      </w:pPr>
      <w:r>
        <w:t>Sirs,</w:t>
      </w:r>
      <w:r>
        <w:tab/>
        <w:t>Your willing servant,</w:t>
      </w:r>
    </w:p>
    <w:p w:rsidR="008078A6" w:rsidRDefault="008078A6" w:rsidP="008078A6">
      <w:pPr>
        <w:pStyle w:val="EnglishText"/>
        <w:tabs>
          <w:tab w:val="left" w:pos="3600"/>
        </w:tabs>
      </w:pPr>
      <w:r>
        <w:tab/>
        <w:t>Jacob Philippe d’Orville</w:t>
      </w:r>
    </w:p>
    <w:p w:rsidR="008078A6" w:rsidRDefault="008078A6" w:rsidP="008078A6">
      <w:pPr>
        <w:pStyle w:val="EnglishText"/>
      </w:pPr>
      <w:r>
        <w:t>Herewith two enclosures,</w:t>
      </w:r>
    </w:p>
    <w:p w:rsidR="008078A6" w:rsidRDefault="008078A6" w:rsidP="008078A6">
      <w:pPr>
        <w:pStyle w:val="EnglishText"/>
      </w:pPr>
      <w:r>
        <w:t>received from Mannheim.</w:t>
      </w:r>
    </w:p>
    <w:p w:rsidR="008078A6" w:rsidRDefault="008078A6" w:rsidP="008078A6">
      <w:pPr>
        <w:pStyle w:val="EnglishText"/>
      </w:pPr>
      <w:r>
        <w:t>Requesting to have</w:t>
      </w:r>
    </w:p>
    <w:p w:rsidR="008078A6" w:rsidRDefault="008078A6" w:rsidP="008078A6">
      <w:pPr>
        <w:pStyle w:val="EnglishText"/>
      </w:pPr>
      <w:r>
        <w:t>the other delivered.</w:t>
      </w:r>
    </w:p>
    <w:p w:rsidR="008078A6" w:rsidRDefault="008078A6" w:rsidP="008078A6">
      <w:pPr>
        <w:pStyle w:val="EnglishText"/>
      </w:pPr>
      <w:r>
        <w:t>It is 7 a.m. and I will</w:t>
      </w:r>
    </w:p>
    <w:p w:rsidR="008078A6" w:rsidRDefault="008078A6" w:rsidP="008078A6">
      <w:pPr>
        <w:pStyle w:val="EnglishText"/>
      </w:pPr>
      <w:r>
        <w:t>shortly be going to my country estate</w:t>
      </w:r>
    </w:p>
    <w:p w:rsidR="008078A6" w:rsidRDefault="008078A6" w:rsidP="008078A6">
      <w:pPr>
        <w:pStyle w:val="EnglishText"/>
      </w:pPr>
      <w:r>
        <w:t>in Wicken via Hochheim this fall.</w:t>
      </w:r>
    </w:p>
    <w:p w:rsidR="008078A6" w:rsidRDefault="008078A6" w:rsidP="008078A6">
      <w:pPr>
        <w:pStyle w:val="EnglishText"/>
      </w:pPr>
    </w:p>
    <w:p w:rsidR="008078A6" w:rsidRDefault="008078A6" w:rsidP="008078A6">
      <w:pPr>
        <w:pStyle w:val="EnglishText"/>
      </w:pPr>
      <w:r>
        <w:t>[verso]</w:t>
      </w:r>
    </w:p>
    <w:p w:rsidR="008078A6" w:rsidRDefault="008078A6" w:rsidP="008078A6">
      <w:pPr>
        <w:pStyle w:val="EnglishText"/>
      </w:pPr>
    </w:p>
    <w:p w:rsidR="008078A6" w:rsidRDefault="008078A6" w:rsidP="008078A6">
      <w:pPr>
        <w:pStyle w:val="EnglishText"/>
      </w:pPr>
      <w:r>
        <w:t>Sirs,</w:t>
      </w:r>
    </w:p>
    <w:p w:rsidR="008078A6" w:rsidRDefault="008078A6" w:rsidP="008078A6">
      <w:pPr>
        <w:pStyle w:val="EnglishText"/>
      </w:pPr>
      <w:r>
        <w:t>Messrs. Hermannus Schijn,</w:t>
      </w:r>
    </w:p>
    <w:p w:rsidR="008078A6" w:rsidRDefault="008078A6" w:rsidP="008078A6">
      <w:pPr>
        <w:pStyle w:val="EnglishText"/>
      </w:pPr>
      <w:r>
        <w:t xml:space="preserve">Medical Doctor &amp; </w:t>
      </w:r>
    </w:p>
    <w:p w:rsidR="008078A6" w:rsidRDefault="008078A6" w:rsidP="008078A6">
      <w:pPr>
        <w:pStyle w:val="EnglishText"/>
      </w:pPr>
      <w:r>
        <w:t>Abraham Jacobs Fries</w:t>
      </w:r>
    </w:p>
    <w:p w:rsidR="008078A6" w:rsidRDefault="008078A6" w:rsidP="008078A6">
      <w:pPr>
        <w:pStyle w:val="EnglishText"/>
      </w:pPr>
      <w:r>
        <w:t>postage paid via Cologne</w:t>
      </w:r>
    </w:p>
    <w:p w:rsidR="008078A6" w:rsidRDefault="008078A6" w:rsidP="008078A6">
      <w:pPr>
        <w:pStyle w:val="EnglishText"/>
      </w:pPr>
      <w:r>
        <w:t>to Amsterdam.</w:t>
      </w:r>
    </w:p>
    <w:p w:rsidR="0084002E" w:rsidRDefault="0084002E"/>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8078A6" w:rsidRDefault="008078A6" w:rsidP="008078A6">
      <w:pPr>
        <w:pStyle w:val="FootnoteText"/>
      </w:pPr>
      <w:r>
        <w:rPr>
          <w:vertAlign w:val="superscript"/>
        </w:rPr>
        <w:footnoteRef/>
      </w:r>
      <w:r>
        <w:rPr>
          <w:rStyle w:val="ChapterNumberforFootnote"/>
        </w:rPr>
        <w:t>71</w:t>
      </w:r>
      <w:r>
        <w:tab/>
      </w:r>
      <w:r>
        <w:rPr>
          <w:rStyle w:val="FootnoteReference"/>
        </w:rPr>
        <w:tab/>
      </w:r>
      <w:r>
        <w:t>Piet Visser suggests that these letters might refer to: I[an] L[</w:t>
      </w:r>
      <w:proofErr w:type="spellStart"/>
      <w:r>
        <w:t>uyken</w:t>
      </w:r>
      <w:proofErr w:type="spellEnd"/>
      <w:r>
        <w:t>] [and Ian] R[</w:t>
      </w:r>
      <w:proofErr w:type="spellStart"/>
      <w:r>
        <w:t>ieuwertsz</w:t>
      </w:r>
      <w:proofErr w:type="spellEnd"/>
      <w:r>
        <w:t xml:space="preserve">], of the revised 1706 edition of </w:t>
      </w:r>
      <w:r>
        <w:fldChar w:fldCharType="begin"/>
      </w:r>
      <w:r>
        <w:rPr>
          <w:rStyle w:val="FootnoteReference"/>
        </w:rPr>
        <w:instrText>xe "Schabaelje, Jan Philipsz"</w:instrText>
      </w:r>
      <w:r>
        <w:fldChar w:fldCharType="end"/>
      </w:r>
      <w:proofErr w:type="spellStart"/>
      <w:r>
        <w:t>Schabaelje’s</w:t>
      </w:r>
      <w:proofErr w:type="spellEnd"/>
      <w:r>
        <w:t xml:space="preserve"> </w:t>
      </w:r>
      <w:proofErr w:type="spellStart"/>
      <w:r>
        <w:rPr>
          <w:rStyle w:val="Italics"/>
        </w:rPr>
        <w:t>Vermeerderde</w:t>
      </w:r>
      <w:proofErr w:type="spellEnd"/>
      <w:r>
        <w:rPr>
          <w:rStyle w:val="Italics"/>
        </w:rPr>
        <w:t xml:space="preserve"> </w:t>
      </w:r>
      <w:proofErr w:type="spellStart"/>
      <w:r>
        <w:rPr>
          <w:rStyle w:val="Italics"/>
        </w:rPr>
        <w:t>Lusthof</w:t>
      </w:r>
      <w:proofErr w:type="spellEnd"/>
      <w:r>
        <w:t xml:space="preserve">, which </w:t>
      </w:r>
      <w:proofErr w:type="spellStart"/>
      <w:r>
        <w:t>Bendicht</w:t>
      </w:r>
      <w:proofErr w:type="spellEnd"/>
      <w:r>
        <w:t xml:space="preserve"> </w:t>
      </w:r>
      <w:proofErr w:type="spellStart"/>
      <w:r>
        <w:t>Brechtbühl</w:t>
      </w:r>
      <w:proofErr w:type="spellEnd"/>
      <w:r>
        <w:t xml:space="preserve"> would translate into German before he left Europe in 1717. Visser, </w:t>
      </w:r>
      <w:proofErr w:type="spellStart"/>
      <w:r>
        <w:rPr>
          <w:rStyle w:val="Italics"/>
        </w:rPr>
        <w:t>Broeders</w:t>
      </w:r>
      <w:proofErr w:type="spellEnd"/>
      <w:r>
        <w:rPr>
          <w:rStyle w:val="Italics"/>
        </w:rPr>
        <w:t xml:space="preserve"> in de </w:t>
      </w:r>
      <w:proofErr w:type="spellStart"/>
      <w:r>
        <w:rPr>
          <w:rStyle w:val="Italics"/>
        </w:rPr>
        <w:t>geest</w:t>
      </w:r>
      <w:proofErr w:type="spellEnd"/>
      <w:r>
        <w:rPr>
          <w:rStyle w:val="Italics"/>
        </w:rPr>
        <w:t>,</w:t>
      </w:r>
      <w:r>
        <w:t xml:space="preserve"> I, p. 362, II, p. 238.  </w:t>
      </w:r>
      <w:proofErr w:type="spellStart"/>
      <w:r>
        <w:rPr>
          <w:rStyle w:val="Italics"/>
        </w:rPr>
        <w:t>Vermeerderde</w:t>
      </w:r>
      <w:proofErr w:type="spellEnd"/>
      <w:r>
        <w:t xml:space="preserve"> </w:t>
      </w:r>
      <w:proofErr w:type="spellStart"/>
      <w:r>
        <w:rPr>
          <w:rStyle w:val="Italics"/>
        </w:rPr>
        <w:t>Lusthof</w:t>
      </w:r>
      <w:proofErr w:type="spellEnd"/>
      <w:r>
        <w:t xml:space="preserve"> is better known in North America as </w:t>
      </w:r>
      <w:r>
        <w:rPr>
          <w:rStyle w:val="Italics"/>
        </w:rPr>
        <w:t xml:space="preserve">Die </w:t>
      </w:r>
      <w:proofErr w:type="spellStart"/>
      <w:r>
        <w:rPr>
          <w:rStyle w:val="Italics"/>
        </w:rPr>
        <w:t>Wandlende</w:t>
      </w:r>
      <w:proofErr w:type="spellEnd"/>
      <w:r>
        <w:rPr>
          <w:rStyle w:val="Italics"/>
        </w:rPr>
        <w:t xml:space="preserve"> </w:t>
      </w:r>
      <w:proofErr w:type="spellStart"/>
      <w:r>
        <w:rPr>
          <w:rStyle w:val="Italics"/>
        </w:rPr>
        <w:t>Seel</w:t>
      </w:r>
      <w:proofErr w:type="spellEnd"/>
      <w:r>
        <w:t xml:space="preserve">, or </w:t>
      </w:r>
      <w:r>
        <w:fldChar w:fldCharType="begin"/>
      </w:r>
      <w:r>
        <w:rPr>
          <w:rStyle w:val="FootnoteReference"/>
        </w:rPr>
        <w:instrText>xe "Wandlende Seel (Wandering Soul)"</w:instrText>
      </w:r>
      <w:r>
        <w:fldChar w:fldCharType="end"/>
      </w:r>
      <w:r>
        <w:rPr>
          <w:rStyle w:val="Italics"/>
        </w:rPr>
        <w:t>Wandering Soul</w:t>
      </w:r>
      <w:r>
        <w:t>.</w:t>
      </w:r>
    </w:p>
    <w:p w:rsidR="008078A6" w:rsidRDefault="008078A6" w:rsidP="008078A6">
      <w:pPr>
        <w:pStyle w:val="FootnoteText"/>
      </w:pPr>
    </w:p>
  </w:footnote>
  <w:footnote w:id="4">
    <w:p w:rsidR="008078A6" w:rsidRDefault="008078A6" w:rsidP="00DF59B4">
      <w:pPr>
        <w:pStyle w:val="FootnoteText"/>
      </w:pPr>
      <w:r>
        <w:rPr>
          <w:vertAlign w:val="superscript"/>
        </w:rPr>
        <w:footnoteRef/>
      </w:r>
      <w:r w:rsidR="00DF59B4">
        <w:rPr>
          <w:rStyle w:val="ChapterNumberforFootnote"/>
        </w:rPr>
        <w:t xml:space="preserve"> </w:t>
      </w:r>
      <w:r>
        <w:t xml:space="preserve">Piet Visser suggests that these letters might refer to: I[an] L[uyken] [and Ian] R[ieuwertsz], of the revised 1706 edition of </w:t>
      </w:r>
      <w:r>
        <w:fldChar w:fldCharType="begin"/>
      </w:r>
      <w:r>
        <w:rPr>
          <w:rStyle w:val="FootnoteReference"/>
        </w:rPr>
        <w:instrText>xe "Schabaelje, Jan Philipsz"</w:instrText>
      </w:r>
      <w:r>
        <w:fldChar w:fldCharType="end"/>
      </w:r>
      <w:r>
        <w:t xml:space="preserve">Schabaelje’s </w:t>
      </w:r>
      <w:r>
        <w:rPr>
          <w:rStyle w:val="Italics"/>
        </w:rPr>
        <w:t>Vermeerderde Lusthof</w:t>
      </w:r>
      <w:r>
        <w:t xml:space="preserve">, which Bendicht Brechtbühl would translate into German before he left Europe in 1717. Visser, </w:t>
      </w:r>
      <w:r>
        <w:rPr>
          <w:rStyle w:val="Italics"/>
        </w:rPr>
        <w:t>Broeders in de geest,</w:t>
      </w:r>
      <w:r>
        <w:t xml:space="preserve"> I, p. 362, II, p. 238.  </w:t>
      </w:r>
      <w:r>
        <w:rPr>
          <w:rStyle w:val="Italics"/>
        </w:rPr>
        <w:t>Vermeerderde</w:t>
      </w:r>
      <w:r>
        <w:t xml:space="preserve"> </w:t>
      </w:r>
      <w:r>
        <w:rPr>
          <w:rStyle w:val="Italics"/>
        </w:rPr>
        <w:t>Lusthof</w:t>
      </w:r>
      <w:r>
        <w:t xml:space="preserve"> is better known in North America as </w:t>
      </w:r>
      <w:r>
        <w:rPr>
          <w:rStyle w:val="Italics"/>
        </w:rPr>
        <w:t>Die Wandlende Seel</w:t>
      </w:r>
      <w:r>
        <w:t xml:space="preserve">, or </w:t>
      </w:r>
      <w:r>
        <w:fldChar w:fldCharType="begin"/>
      </w:r>
      <w:r>
        <w:rPr>
          <w:rStyle w:val="FootnoteReference"/>
        </w:rPr>
        <w:instrText>xe "Wandlende Seel (Wandering Soul)"</w:instrText>
      </w:r>
      <w:r>
        <w:fldChar w:fldCharType="end"/>
      </w:r>
      <w:r>
        <w:rPr>
          <w:rStyle w:val="Italics"/>
        </w:rPr>
        <w:t>Wandering Soul</w:t>
      </w:r>
      <w:r w:rsidR="00DF59B4">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1281.01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8078A6"/>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8078A6"/>
    <w:rPr>
      <w:i/>
      <w:iCs/>
    </w:rPr>
  </w:style>
  <w:style w:type="paragraph" w:customStyle="1" w:styleId="EnglishText">
    <w:name w:val="English Text"/>
    <w:basedOn w:val="Normal"/>
    <w:uiPriority w:val="99"/>
    <w:rsid w:val="008078A6"/>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8078A6"/>
    <w:rPr>
      <w:w w:val="100"/>
      <w:vertAlign w:val="superscript"/>
    </w:rPr>
  </w:style>
  <w:style w:type="paragraph" w:styleId="FootnoteText">
    <w:name w:val="footnote text"/>
    <w:basedOn w:val="Normal"/>
    <w:link w:val="FootnoteTextChar"/>
    <w:uiPriority w:val="99"/>
    <w:rsid w:val="008078A6"/>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8078A6"/>
    <w:rPr>
      <w:rFonts w:ascii="Sabon LT Std" w:hAnsi="Sabon LT Std" w:cs="Sabon LT Std"/>
      <w:color w:val="000000"/>
      <w:sz w:val="15"/>
      <w:szCs w:val="15"/>
    </w:rPr>
  </w:style>
  <w:style w:type="character" w:customStyle="1" w:styleId="ChapterNumberforFootnote">
    <w:name w:val="Chapter Number for Footnote"/>
    <w:uiPriority w:val="99"/>
    <w:rsid w:val="008078A6"/>
    <w:rPr>
      <w:sz w:val="20"/>
      <w:szCs w:val="20"/>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