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118, </w:t>
      </w:r>
      <w:r>
        <w:t xml:space="preserve">24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232C4" w:rsidRDefault="009232C4" w:rsidP="009232C4">
      <w:pPr>
        <w:pStyle w:val="FirstParagraph"/>
        <w:rPr>
          <w:rStyle w:val="documentnumber"/>
        </w:rPr>
      </w:pPr>
      <w:r>
        <w:rPr>
          <w:rStyle w:val="documentnumber"/>
        </w:rPr>
        <w:t>118.  January 24, 1711.</w:t>
      </w:r>
      <w:r>
        <w:rPr>
          <w:rStyle w:val="FootnoteReference"/>
        </w:rPr>
        <w:footnoteReference w:id="5"/>
      </w:r>
    </w:p>
    <w:p w:rsidR="009232C4" w:rsidRDefault="009232C4" w:rsidP="009232C4">
      <w:pPr>
        <w:pStyle w:val="OriginalText"/>
        <w:rPr>
          <w:sz w:val="20"/>
          <w:szCs w:val="20"/>
        </w:rPr>
      </w:pP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den 24ten Januarii 1711.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Wohl Edle, etc.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letzteres war vom 17ten </w:t>
      </w: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.  Mit diesem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allein und in aller eil berichten sollen, daß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gestern der hiesigen Täuffer Sach für dem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tracti</w:t>
      </w:r>
      <w:r>
        <w:rPr>
          <w:sz w:val="20"/>
          <w:szCs w:val="20"/>
        </w:rPr>
        <w:t xml:space="preserve">ret worden und daß solcher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 vielen </w:t>
      </w:r>
      <w:r>
        <w:rPr>
          <w:rStyle w:val="Italics"/>
          <w:sz w:val="20"/>
          <w:szCs w:val="20"/>
        </w:rPr>
        <w:t>debatten</w:t>
      </w:r>
      <w:r>
        <w:rPr>
          <w:sz w:val="20"/>
          <w:szCs w:val="20"/>
        </w:rPr>
        <w:t xml:space="preserve"> fast alles dasjenige </w:t>
      </w:r>
      <w:r>
        <w:rPr>
          <w:rStyle w:val="Italics"/>
          <w:sz w:val="20"/>
          <w:szCs w:val="20"/>
        </w:rPr>
        <w:t>accordiret</w:t>
      </w:r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wir </w:t>
      </w:r>
      <w:r>
        <w:rPr>
          <w:rStyle w:val="Italics"/>
          <w:sz w:val="20"/>
          <w:szCs w:val="20"/>
        </w:rPr>
        <w:t>in favor</w:t>
      </w:r>
      <w:r>
        <w:rPr>
          <w:sz w:val="20"/>
          <w:szCs w:val="20"/>
        </w:rPr>
        <w:t xml:space="preserve"> dieser armen Leüthen begehret,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auch den nachlaß des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"tax:emigration"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abzug-gelds.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Künfftige </w:t>
      </w: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werde meine heüt an den Staat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erstattente </w:t>
      </w:r>
      <w:r>
        <w:rPr>
          <w:rStyle w:val="Italics"/>
          <w:sz w:val="20"/>
          <w:szCs w:val="20"/>
        </w:rPr>
        <w:t>Secrette relation</w:t>
      </w:r>
      <w:r>
        <w:rPr>
          <w:sz w:val="20"/>
          <w:szCs w:val="20"/>
        </w:rPr>
        <w:t xml:space="preserve"> mit der hiesigen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grosen Raths-erkandtnus, nebst deme was bis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dahin ferners passiren wirdt, auch übersenden,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indessen mit der Täuffer-Cammer wegen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, so ihren </w:t>
      </w:r>
      <w:r>
        <w:rPr>
          <w:rStyle w:val="Italics"/>
          <w:sz w:val="20"/>
          <w:szCs w:val="20"/>
        </w:rPr>
        <w:t>respectivé</w:t>
      </w:r>
      <w:r>
        <w:rPr>
          <w:sz w:val="20"/>
          <w:szCs w:val="20"/>
        </w:rPr>
        <w:t xml:space="preserve"> Ehegatten,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Eltern oder kindern werden folgen wollen, wie auch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die zeit der abreis auch was dem anhängig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ferners </w:t>
      </w:r>
      <w:r>
        <w:rPr>
          <w:rStyle w:val="Italics"/>
          <w:sz w:val="20"/>
          <w:szCs w:val="20"/>
        </w:rPr>
        <w:t>conferiren</w:t>
      </w:r>
      <w:r>
        <w:rPr>
          <w:sz w:val="20"/>
          <w:szCs w:val="20"/>
        </w:rPr>
        <w:t>. [Seite 2]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in meinen vorigen vermeldete undt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wiederumb heimblich ins Landt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geschlichene Täuffer,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darunter, wie mann mich versicheren will, der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bekandte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"Bürki, Hans (Burky, Birky, Bergey):returns to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Bürckÿ auch seÿn soll, erbittern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hiesige gemüther, je länger je mehr, so daß übel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beförchte, es dörffte der eint oder andere, wann mann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ertappen solte, es entweder mit dem Leben, oder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Galleere, oder auffs wenigste mit der ewigen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gefängnus bezahlen müssen, umb denenjenigen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anjetzo das Landt </w:t>
      </w:r>
      <w:r>
        <w:rPr>
          <w:rStyle w:val="Italics"/>
          <w:sz w:val="20"/>
          <w:szCs w:val="20"/>
        </w:rPr>
        <w:t>quitti</w:t>
      </w:r>
      <w:r>
        <w:rPr>
          <w:sz w:val="20"/>
          <w:szCs w:val="20"/>
        </w:rPr>
        <w:t xml:space="preserve">ren sollen einen desto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grösern schröchen einzujagen.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erlaßung in den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starcken gnaden schutz Gottes wie allezeit verharre.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P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232C4" w:rsidRDefault="009232C4" w:rsidP="009232C4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118</w:t>
      </w:r>
      <w:r>
        <w:tab/>
      </w:r>
      <w:r>
        <w:rPr>
          <w:rStyle w:val="FootnoteReference"/>
        </w:rPr>
        <w:tab/>
      </w:r>
      <w:r>
        <w:t xml:space="preserve">This is A 1302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232C4" w:rsidRDefault="009232C4" w:rsidP="009232C4">
      <w:pPr>
        <w:pStyle w:val="FootnoteText"/>
      </w:pPr>
    </w:p>
  </w:footnote>
  <w:footnote w:id="4">
    <w:p w:rsidR="009232C4" w:rsidRDefault="009232C4" w:rsidP="009232C4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232C4" w:rsidRDefault="009232C4" w:rsidP="009232C4">
      <w:pPr>
        <w:pStyle w:val="Footnote-OneDigit"/>
      </w:pPr>
    </w:p>
  </w:footnote>
  <w:footnote w:id="5">
    <w:p w:rsidR="009232C4" w:rsidRDefault="009232C4" w:rsidP="00795951">
      <w:pPr>
        <w:pStyle w:val="Footnote-OneDigit"/>
      </w:pPr>
      <w:r>
        <w:rPr>
          <w:vertAlign w:val="superscript"/>
        </w:rPr>
        <w:footnoteRef/>
      </w:r>
      <w:r w:rsidR="00795951">
        <w:rPr>
          <w:rStyle w:val="ChapterNumberforFootnote"/>
        </w:rPr>
        <w:t xml:space="preserve"> </w:t>
      </w:r>
      <w:r>
        <w:t xml:space="preserve">This is A 1302 from the De Hoop Scheffer </w:t>
      </w:r>
      <w:r>
        <w:rPr>
          <w:rStyle w:val="Italics"/>
        </w:rPr>
        <w:t>Inventaris</w:t>
      </w:r>
      <w:r w:rsidR="00795951">
        <w:t>.</w:t>
      </w:r>
    </w:p>
  </w:footnote>
  <w:footnote w:id="6">
    <w:p w:rsidR="009232C4" w:rsidRDefault="009232C4" w:rsidP="00795951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79595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9232C4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232C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9232C4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9232C4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32C4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232C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9232C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