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124, </w:t>
      </w:r>
      <w:r>
        <w:t xml:space="preserve">02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680-84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02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Brechtbuhl, Benedict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[Mannheim, Germany]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997B3F" w:rsidRDefault="00997B3F" w:rsidP="00997B3F">
      <w:pPr>
        <w:pStyle w:val="FirstParagraph"/>
      </w:pPr>
      <w:r>
        <w:t>124.  February 2, 1711.</w:t>
      </w:r>
      <w:r>
        <w:rPr>
          <w:rStyle w:val="FootnoteReference"/>
        </w:rPr>
        <w:footnoteReference w:id="8"/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[recto]</w:t>
      </w:r>
    </w:p>
    <w:p w:rsidR="00997B3F" w:rsidRDefault="00997B3F" w:rsidP="00997B3F">
      <w:pPr>
        <w:pStyle w:val="OriginalText"/>
        <w:rPr>
          <w:sz w:val="20"/>
          <w:szCs w:val="20"/>
        </w:rPr>
      </w:pP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Benedict brächtbull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An[no] 1711 den 2 febr[uari] amst[erdam]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Waerde vrinden En geliefde broeders in Christus,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ul[ieden] aengen[am]e schryvens Gedateert Manheim 4 Januari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heb wel ontfangen En den inhout aan onse mede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dienaeren gecom[m]uniceert. Die nu versocht hebben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aan ul[ieden] een Wederantwoort toe te Voegen.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Vooreerst dancke ul[ieden] hertlÿk voor de Goede nieuejaars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Wensch. Met wederwensch dat de Heere ul[ieden] En alle de lieve broeders 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Susters jn Sÿn heÿlige bescherminge wil neemen en voor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ongeval bewaaren.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Belangende onse gevangene Geloofsgenooten tot bern,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Wÿ hebben tot hun onderstant noch 300 Rixdaelders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aan den heer Runckel geremitteert.</w:t>
      </w:r>
      <w:r>
        <w:rPr>
          <w:rStyle w:val="FootnoteReference"/>
          <w:sz w:val="20"/>
          <w:szCs w:val="20"/>
        </w:rPr>
        <w:footnoteReference w:id="9"/>
      </w:r>
      <w:r>
        <w:rPr>
          <w:sz w:val="20"/>
          <w:szCs w:val="20"/>
        </w:rPr>
        <w:t xml:space="preserve"> En sÿn de vrinden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geneegen om een meerder alst van noden js te besorgen.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Dat uwe dienaers En oudsten jn switzerlandt schrÿven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sÿ niet geneegen sÿn met haar wille na pruÿsen gevoert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worden, daarop seggen dat sulx oock onse mening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gants niet js. Maar dewÿl wÿ uÿt alle de advysen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van den heer Runckel wel sien dat de bernse Regeering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onversettelÿk bÿ haar opinie blÿft, gelyck ul[ieden] selfs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kunt sien uÿt bÿgaande Extracten nu voor wÿnich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dagen bekomen, dat den broeder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"Räber, Samuel:in prison"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Samuel Räber daar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nieus was gevangen En al voort gevonnist is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Soo dat onse vrinden gantselÿx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"Committee for Foreign Needs:advises against return to Switzerland"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niet geraden connen vinden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om ul[ieden] van uw beloften te ontslaan, maar wel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te versoeken dat ul[ieden] Aan de broeders in der schwÿts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schrÿft dat se haar tot den aftocht vervaardigen, om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na herwaerts gevoert te worden. Eer dat de bittere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bernse overighÿt haar besondicht met onse Lieve vrinden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’t leven te beneemen of na de franse galÿen te brengen.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Uw versoek aan de Regering van bern om uw kinderen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af te haalen. sal ul[ieden] wel bevinden vergeefs werc sÿn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ofte maar om te bedriegen soude aangelÿt worden om uw jn haeren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gewelt te crÿgen, als de broeders hier sÿn sal men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niemant tegens sÿn wille na pruÿsen senden maar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dan gelegenthÿt sien te besorgen tot jders onderstandt.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[verso]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Wy verhoopen met naeste post te verneemen dat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heer Runckel de vrÿlatinge der gevangens sal hebben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verkreegen. En dat die zich verburgen hebben te voorschÿn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mogen coomen om haar tot vertreck uÿt den lande te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vervaardigen. Doch die hoope js ons nu al menigmaal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gefaljeert.</w:t>
      </w:r>
      <w:r>
        <w:rPr>
          <w:rStyle w:val="FootnoteReference"/>
          <w:sz w:val="20"/>
          <w:szCs w:val="20"/>
        </w:rPr>
        <w:footnoteReference w:id="10"/>
      </w:r>
      <w:r>
        <w:rPr>
          <w:sz w:val="20"/>
          <w:szCs w:val="20"/>
        </w:rPr>
        <w:t xml:space="preserve">  Als wÿ seeckerhÿt hebben Ent getal weeten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dan was ’t voorneemen om jmant van hier op te senden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En de vrinden tot onsen costen herwaerts te voeren,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’t js ons lief dat ul[ieden] sÿn kost kan verdienen, jsser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imant onder uw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onderstant van node heeft, wÿ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sÿn willig En geneegen dat te vervullen.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moerassen wort gants van afgesien,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"Zahler, Melchior (Melcher):in Neuchâtel"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Melchaor Sahler wort ons bericht dat zich tot neufchattel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op hout. Waar hans burkj zich op hout mocht wel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gaarne weeten.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"Martyrs' Mirror"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martelaers boeken sÿn onse vrinden wel geneegen te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senden maar soo lang men noch niet weet waer ul[ieden]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syn woonplaats sult neemen dunkt ons heeft dat geen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haast Na switzerlandt dienen die niet als om de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Regeering van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"Zurich"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Surich te vertoornen. Hoogduytse druck 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js serieus[?]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De groetenisse heb jnt algemeen an de bekende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Vrinden gedaan die ul[ieden] wed[e]rom hertelyk hebben doen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groeten speciaal ook de vrinden gecomitteerden, 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vrint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"Walle, Christoffel van de"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Christoffer van de walle,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"Cate, Harman ten"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harmen ten Cate 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haare huys vrouwen met mÿn kinderen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Recommandeere</w:t>
      </w:r>
      <w:r>
        <w:rPr>
          <w:rStyle w:val="FootnoteReference"/>
          <w:sz w:val="20"/>
          <w:szCs w:val="20"/>
        </w:rPr>
        <w:footnoteReference w:id="11"/>
      </w:r>
      <w:r>
        <w:rPr>
          <w:sz w:val="20"/>
          <w:szCs w:val="20"/>
        </w:rPr>
        <w:t xml:space="preserve"> uE[dele] nogmaal soo lief als gÿ onse onvermoeyden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Arbÿt &amp; hulp waardeert, uw selve ganselÿk niet na booven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wilt Hasardeeren</w:t>
      </w:r>
      <w:r>
        <w:rPr>
          <w:rStyle w:val="FootnoteReference"/>
          <w:sz w:val="20"/>
          <w:szCs w:val="20"/>
        </w:rPr>
        <w:footnoteReference w:id="12"/>
      </w:r>
      <w:r>
        <w:rPr>
          <w:sz w:val="20"/>
          <w:szCs w:val="20"/>
        </w:rPr>
        <w:t xml:space="preserve"> met uw in perÿkel te begeeven, uw kinderen</w:t>
      </w:r>
    </w:p>
    <w:p w:rsidR="00997B3F" w:rsidRDefault="00997B3F" w:rsidP="00997B3F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conne[n] wel door jmant van uw vrinden afgebragt worden,</w:t>
      </w:r>
    </w:p>
    <w:p w:rsidR="0084002E" w:rsidRDefault="00997B3F" w:rsidP="00997B3F">
      <w:pPr>
        <w:pStyle w:val="OriginalText"/>
      </w:pPr>
      <w:r>
        <w:rPr>
          <w:sz w:val="20"/>
          <w:szCs w:val="20"/>
        </w:rPr>
        <w:t>Hier op ons [ver]laate[nde].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997B3F" w:rsidRDefault="00997B3F" w:rsidP="00997B3F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124</w:t>
      </w:r>
      <w:r>
        <w:tab/>
      </w:r>
      <w:r>
        <w:rPr>
          <w:rStyle w:val="FootnoteReference"/>
        </w:rPr>
        <w:tab/>
      </w:r>
      <w:r>
        <w:t xml:space="preserve">This is A 1306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97B3F" w:rsidRDefault="00997B3F" w:rsidP="00997B3F">
      <w:pPr>
        <w:pStyle w:val="FootnoteText"/>
      </w:pPr>
    </w:p>
  </w:footnote>
  <w:footnote w:id="4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 xml:space="preserve">“per </w:t>
      </w:r>
      <w:proofErr w:type="spellStart"/>
      <w:r>
        <w:t>wissel</w:t>
      </w:r>
      <w:proofErr w:type="spellEnd"/>
      <w:r>
        <w:t xml:space="preserve"> </w:t>
      </w:r>
      <w:proofErr w:type="spellStart"/>
      <w:r>
        <w:t>overgemaakt</w:t>
      </w:r>
      <w:proofErr w:type="spellEnd"/>
      <w:r>
        <w:t>,” “transferred by bill of exchange.”</w:t>
      </w:r>
    </w:p>
    <w:p w:rsidR="00997B3F" w:rsidRDefault="00997B3F" w:rsidP="00997B3F">
      <w:pPr>
        <w:pStyle w:val="FirstFootnoteinColumnLine"/>
      </w:pPr>
    </w:p>
  </w:footnote>
  <w:footnote w:id="5">
    <w:p w:rsidR="00997B3F" w:rsidRDefault="00997B3F" w:rsidP="00997B3F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faillir</w:t>
      </w:r>
      <w:proofErr w:type="spellEnd"/>
      <w:r>
        <w:t xml:space="preserve">” (French), “to err, fail.” </w:t>
      </w:r>
    </w:p>
    <w:p w:rsidR="00997B3F" w:rsidRDefault="00997B3F" w:rsidP="00997B3F">
      <w:pPr>
        <w:pStyle w:val="FirstFootnoteinColumnLine"/>
      </w:pPr>
    </w:p>
  </w:footnote>
  <w:footnote w:id="6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This final paragraph is added in different handwriting.</w:t>
      </w:r>
    </w:p>
    <w:p w:rsidR="00997B3F" w:rsidRDefault="00997B3F" w:rsidP="00997B3F">
      <w:pPr>
        <w:pStyle w:val="Footnote-OneDigit"/>
      </w:pPr>
    </w:p>
  </w:footnote>
  <w:footnote w:id="7">
    <w:p w:rsidR="00997B3F" w:rsidRDefault="00997B3F" w:rsidP="00997B3F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wagen</w:t>
      </w:r>
      <w:proofErr w:type="spellEnd"/>
      <w:r>
        <w:t>.”</w:t>
      </w:r>
    </w:p>
    <w:p w:rsidR="00997B3F" w:rsidRDefault="00997B3F" w:rsidP="00997B3F">
      <w:pPr>
        <w:pStyle w:val="Footnote-OneDigit"/>
      </w:pPr>
    </w:p>
  </w:footnote>
  <w:footnote w:id="8">
    <w:p w:rsidR="00997B3F" w:rsidRDefault="00997B3F" w:rsidP="00C75126">
      <w:pPr>
        <w:pStyle w:val="Footnote-OneDigit"/>
      </w:pPr>
      <w:r>
        <w:rPr>
          <w:vertAlign w:val="superscript"/>
        </w:rPr>
        <w:footnoteRef/>
      </w:r>
      <w:r w:rsidR="00C75126">
        <w:rPr>
          <w:rStyle w:val="ChapterNumberforFootnote"/>
        </w:rPr>
        <w:t xml:space="preserve"> </w:t>
      </w:r>
      <w:r>
        <w:t xml:space="preserve">This is A 1306 from the De Hoop Scheffer </w:t>
      </w:r>
      <w:r>
        <w:rPr>
          <w:rStyle w:val="Italics"/>
        </w:rPr>
        <w:t>Inventaris</w:t>
      </w:r>
      <w:r w:rsidR="00C75126">
        <w:t>.</w:t>
      </w:r>
    </w:p>
  </w:footnote>
  <w:footnote w:id="9">
    <w:p w:rsidR="00997B3F" w:rsidRDefault="00997B3F" w:rsidP="00C75126">
      <w:pPr>
        <w:pStyle w:val="Footnote-OneDigit"/>
      </w:pPr>
      <w:r>
        <w:rPr>
          <w:vertAlign w:val="superscript"/>
        </w:rPr>
        <w:footnoteRef/>
      </w:r>
      <w:r>
        <w:tab/>
        <w:t>“per wissel overgemaakt,” “transferred by bill of exchange</w:t>
      </w:r>
      <w:r w:rsidR="00C75126">
        <w:t>.</w:t>
      </w:r>
    </w:p>
  </w:footnote>
  <w:footnote w:id="10">
    <w:p w:rsidR="00997B3F" w:rsidRDefault="00997B3F" w:rsidP="00C75126">
      <w:pPr>
        <w:pStyle w:val="Footnote-OneDigit"/>
      </w:pPr>
      <w:r>
        <w:rPr>
          <w:vertAlign w:val="superscript"/>
        </w:rPr>
        <w:footnoteRef/>
      </w:r>
      <w:r>
        <w:tab/>
        <w:t xml:space="preserve">“faillir” (French), “to err, fail.” </w:t>
      </w:r>
    </w:p>
    <w:p w:rsidR="00997B3F" w:rsidRDefault="00997B3F" w:rsidP="00C75126">
      <w:pPr>
        <w:pStyle w:val="Footnote-OneDigit"/>
      </w:pPr>
    </w:p>
  </w:footnote>
  <w:footnote w:id="11">
    <w:p w:rsidR="00997B3F" w:rsidRDefault="00997B3F" w:rsidP="00C75126">
      <w:pPr>
        <w:pStyle w:val="Footnote-OneDigit"/>
      </w:pPr>
      <w:r>
        <w:rPr>
          <w:vertAlign w:val="superscript"/>
        </w:rPr>
        <w:footnoteRef/>
      </w:r>
      <w:r>
        <w:tab/>
        <w:t>This final paragraph is added in different handwriting</w:t>
      </w:r>
      <w:r w:rsidR="00C75126">
        <w:t>.</w:t>
      </w:r>
    </w:p>
  </w:footnote>
  <w:footnote w:id="12">
    <w:p w:rsidR="00997B3F" w:rsidRDefault="00997B3F" w:rsidP="00C75126">
      <w:pPr>
        <w:pStyle w:val="Footnote-OneDigit"/>
      </w:pPr>
      <w:r>
        <w:rPr>
          <w:vertAlign w:val="superscript"/>
        </w:rPr>
        <w:footnoteRef/>
      </w:r>
      <w:r>
        <w:tab/>
        <w:t>“wagen</w:t>
      </w:r>
      <w:r w:rsidR="00C75126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1306.01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997B3F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997B3F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997B3F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7B3F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997B3F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997B3F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997B3F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97B3F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