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129, </w:t>
      </w:r>
      <w:r>
        <w:t xml:space="preserve">09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708-10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09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Frederik I, King in Prussia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Berlin,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Schmettau, Baron&lt;/fpre Wolfgang von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[Bern, Switzerland]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French; 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D2AFF" w:rsidRDefault="002D2AFF" w:rsidP="002D2AFF">
      <w:pPr>
        <w:pStyle w:val="FirstParagraph"/>
        <w:rPr>
          <w:rStyle w:val="documentnumber"/>
        </w:rPr>
      </w:pPr>
      <w:r>
        <w:rPr>
          <w:rStyle w:val="documentnumber"/>
        </w:rPr>
        <w:t>129.  February 9, 1711.</w:t>
      </w:r>
      <w:r>
        <w:rPr>
          <w:rStyle w:val="FootnoteReference"/>
        </w:rPr>
        <w:footnoteReference w:id="12"/>
      </w:r>
    </w:p>
    <w:p w:rsidR="002D2AFF" w:rsidRDefault="002D2AFF" w:rsidP="002D2AFF">
      <w:pPr>
        <w:pStyle w:val="OriginalText"/>
        <w:rPr>
          <w:sz w:val="21"/>
          <w:szCs w:val="21"/>
        </w:rPr>
      </w:pP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Copie</w:t>
      </w:r>
      <w:r>
        <w:rPr>
          <w:rStyle w:val="FootnoteReference"/>
          <w:sz w:val="21"/>
          <w:szCs w:val="21"/>
        </w:rPr>
        <w:footnoteReference w:id="13"/>
      </w:r>
      <w:r>
        <w:rPr>
          <w:rStyle w:val="Italics"/>
          <w:sz w:val="21"/>
          <w:szCs w:val="21"/>
        </w:rPr>
        <w:t xml:space="preserve"> de la </w:t>
      </w:r>
      <w:r>
        <w:rPr>
          <w:rStyle w:val="Italics"/>
          <w:sz w:val="21"/>
          <w:szCs w:val="21"/>
        </w:rPr>
        <w:fldChar w:fldCharType="begin"/>
      </w:r>
      <w:r>
        <w:rPr>
          <w:rStyle w:val="Italics"/>
          <w:sz w:val="21"/>
          <w:szCs w:val="21"/>
        </w:rPr>
        <w:instrText>xe "Friedrich Wilhelm, King of Prussia:letter to Bondeli and Schmettau"</w:instrText>
      </w:r>
      <w:r>
        <w:rPr>
          <w:rStyle w:val="Italics"/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 xml:space="preserve">lettre de S. M. le Roÿ de Prusse à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Son Ministre à Berne dd Berlin ce 9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    Fevr[ier] 1711.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Monsieur.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J’ay vû par la Votre du 28 du Janvier dans quel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l’estat l’affaire des Mennonites se trouvè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presentement.  Comme la resolution es prise de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transporter ces Gens par eau en Hollande, il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faudra voie ce qui en sera ensuitte, et dans quels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Pays on fixera leur établissement.  Vous verrés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par la Copie cÿ jointe ce que j’ecris là dessus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au Baron de Schmettau, et dequoÿ Vous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pouvez faire part là oû vous le jugerez necessaire.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Copie de la lettre de S.M. le Roÿ de Prusse écrite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au Baron de Schmettau dd Berlin ce 9 fevr[ier] 1711. </w:t>
      </w:r>
    </w:p>
    <w:p w:rsidR="002D2AFF" w:rsidRDefault="002D2AFF" w:rsidP="002D2AFF">
      <w:pPr>
        <w:pStyle w:val="OriginalText"/>
        <w:rPr>
          <w:sz w:val="21"/>
          <w:szCs w:val="21"/>
        </w:rPr>
      </w:pP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Friederich, König in Preüsen, etc.</w:t>
      </w:r>
    </w:p>
    <w:p w:rsidR="002D2AFF" w:rsidRDefault="002D2AFF" w:rsidP="002D2AFF">
      <w:pPr>
        <w:pStyle w:val="OriginalText"/>
        <w:rPr>
          <w:sz w:val="21"/>
          <w:szCs w:val="21"/>
        </w:rPr>
      </w:pP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von dem </w:t>
      </w:r>
      <w:r>
        <w:rPr>
          <w:rStyle w:val="Italics"/>
          <w:sz w:val="21"/>
          <w:szCs w:val="21"/>
        </w:rPr>
        <w:t>Envoÿé</w:t>
      </w:r>
      <w:r>
        <w:rPr>
          <w:sz w:val="21"/>
          <w:szCs w:val="21"/>
        </w:rPr>
        <w:t xml:space="preserve"> Frh.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von Bondelÿ, wegen der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bekandten Schweitzerischen Mennoniten ferner an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Unß eingelauffen, das habt Ihr abschrifftlich hierbeÿ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empfangen.  Wir werden nun je länger je mehr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der meinung bestärcket, daß es mit denen aldort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Eüch geschehenen </w:t>
      </w:r>
      <w:r>
        <w:rPr>
          <w:rStyle w:val="Italics"/>
          <w:sz w:val="21"/>
          <w:szCs w:val="21"/>
        </w:rPr>
        <w:t>Sincerationen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als ob mann nemblich 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 Leüthe nach Unseren Landten kommen und Sie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denselben sich </w:t>
      </w:r>
      <w:r>
        <w:rPr>
          <w:rStyle w:val="Italics"/>
          <w:sz w:val="21"/>
          <w:szCs w:val="21"/>
        </w:rPr>
        <w:t>établiren</w:t>
      </w:r>
      <w:r>
        <w:rPr>
          <w:sz w:val="21"/>
          <w:szCs w:val="21"/>
        </w:rPr>
        <w:t xml:space="preserve"> laßen wolte, kein rechter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ernst gewesen, sondern daß mann schon seit einiger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zeit den vorsatz gehabt, dieselbe nach den dortigen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Niederlanden zu ziehen, und Sie allda unter zu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bringen.  Wir werden auch, wie gerne Wir auch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sonst dieser gelegenheit, den bisherigen abgang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Unserer Unterthanen einiger maßen zu ersetzen,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Unß bedienen mögten, allem ansehen nach die sache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wohl nicht änderen können sondern geschehen laßen 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müßen, daß der transport aller dieser Leüthen zu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wasser </w:t>
      </w:r>
      <w:r>
        <w:rPr>
          <w:rStyle w:val="Italics"/>
          <w:sz w:val="21"/>
          <w:szCs w:val="21"/>
        </w:rPr>
        <w:t>recta</w:t>
      </w:r>
      <w:r>
        <w:rPr>
          <w:rStyle w:val="FootnoteReference"/>
          <w:sz w:val="21"/>
          <w:szCs w:val="21"/>
        </w:rPr>
        <w:footnoteReference w:id="16"/>
      </w:r>
      <w:r>
        <w:rPr>
          <w:sz w:val="21"/>
          <w:szCs w:val="21"/>
        </w:rPr>
        <w:t xml:space="preserve"> nach Hollandt geschehe, weil mann als dann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dieselbe von dar weiter nach Unseren Landten kommen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laßen, auch </w:t>
      </w:r>
      <w:r>
        <w:rPr>
          <w:rStyle w:val="Italics"/>
          <w:sz w:val="21"/>
          <w:szCs w:val="21"/>
        </w:rPr>
        <w:t>permittiren</w:t>
      </w:r>
      <w:r>
        <w:rPr>
          <w:sz w:val="21"/>
          <w:szCs w:val="21"/>
        </w:rPr>
        <w:t xml:space="preserve">, daß so wohl bemittelte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alß arme sich dahin begeben, so werden Wir vor die-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selbe dergestalt sorgen laßen, und es mit Ihrem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établissement</w:t>
      </w:r>
      <w:r>
        <w:rPr>
          <w:sz w:val="21"/>
          <w:szCs w:val="21"/>
        </w:rPr>
        <w:t xml:space="preserve"> auff eine solche weis einrichten, daß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Gott und Unß darfür zu dancken ursach haben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sollen, gestalt dann auch in Unseren Landten von der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"disease, contagious, in Prussia"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Contagion</w:t>
      </w:r>
      <w:r>
        <w:rPr>
          <w:sz w:val="21"/>
          <w:szCs w:val="21"/>
        </w:rPr>
        <w:t xml:space="preserve">, die überall gäntzlich auffgehöret hat, weiter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nicht das geringste zu besorgen ist, vielmehr aber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sterben, umb so viel mehrere </w:t>
      </w:r>
      <w:r>
        <w:rPr>
          <w:rStyle w:val="Italics"/>
          <w:sz w:val="21"/>
          <w:szCs w:val="21"/>
        </w:rPr>
        <w:t>commodität</w:t>
      </w:r>
      <w:r>
        <w:rPr>
          <w:rStyle w:val="FootnoteReference"/>
          <w:sz w:val="21"/>
          <w:szCs w:val="21"/>
        </w:rPr>
        <w:footnoteReference w:id="17"/>
      </w:r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Unß verschafft hatt, dergleichen frembtlinge, wann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in Unsere Landten kommen mit beqüemen Häusern,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 auch feld </w:t>
      </w:r>
      <w:r>
        <w:rPr>
          <w:rStyle w:val="Italics"/>
          <w:sz w:val="21"/>
          <w:szCs w:val="21"/>
        </w:rPr>
        <w:t>Inventarien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18"/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Instrumentis rusticis</w:t>
      </w:r>
      <w:r>
        <w:rPr>
          <w:rStyle w:val="FootnoteReference"/>
          <w:sz w:val="21"/>
          <w:szCs w:val="21"/>
        </w:rPr>
        <w:footnoteReference w:id="19"/>
      </w:r>
      <w:r>
        <w:rPr>
          <w:sz w:val="21"/>
          <w:szCs w:val="21"/>
        </w:rPr>
        <w:t xml:space="preserve"> und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sonst zu Ihrer handthirung erfordert wird, ohne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grose kosten so fort versehen, und in volle nahrung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setzen</w:t>
      </w:r>
      <w:r>
        <w:rPr>
          <w:rStyle w:val="FootnoteReference"/>
          <w:sz w:val="21"/>
          <w:szCs w:val="21"/>
        </w:rPr>
        <w:footnoteReference w:id="20"/>
      </w:r>
      <w:r>
        <w:rPr>
          <w:sz w:val="21"/>
          <w:szCs w:val="21"/>
        </w:rPr>
        <w:t xml:space="preserve"> zu konnen.  Mit dem allem aber bleiben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wir doch der gantzlichen </w:t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, wann es etwann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meinung haben solte, daß mann die besten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wohlhabensten unter diesen Mennoniten in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Hollandt behalten, die schlechten und unvermögende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aber Unß zuschicken wolte, der sache Unß gar zu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entziehen, und lieber geschehen zu laßen, daß die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gantze </w:t>
      </w:r>
      <w:r>
        <w:rPr>
          <w:rStyle w:val="Italics"/>
          <w:sz w:val="21"/>
          <w:szCs w:val="21"/>
        </w:rPr>
        <w:t>Colonie</w:t>
      </w:r>
      <w:r>
        <w:rPr>
          <w:sz w:val="21"/>
          <w:szCs w:val="21"/>
        </w:rPr>
        <w:t xml:space="preserve"> alldort beÿeinander verbleibe,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werdet Ihr nicht ermanglen solches in zeiten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aldort an gehörigen Orthen bekandt zu machen.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Seynd. etc.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"Cölln on the Spree"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Cöln</w:t>
      </w:r>
      <w:r>
        <w:rPr>
          <w:sz w:val="21"/>
          <w:szCs w:val="21"/>
        </w:rPr>
        <w:t xml:space="preserve"> den 9ten </w:t>
      </w:r>
      <w:r>
        <w:rPr>
          <w:rStyle w:val="Italics"/>
          <w:sz w:val="21"/>
          <w:szCs w:val="21"/>
        </w:rPr>
        <w:t>februarii</w:t>
      </w:r>
      <w:r>
        <w:rPr>
          <w:sz w:val="21"/>
          <w:szCs w:val="21"/>
        </w:rPr>
        <w:t xml:space="preserve"> 1711./.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D2AFF" w:rsidRDefault="002D2AFF" w:rsidP="002D2AF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129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1313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This was also transcribed by </w:t>
      </w:r>
      <w:proofErr w:type="spellStart"/>
      <w:r>
        <w:t>Rijnders</w:t>
      </w:r>
      <w:proofErr w:type="spellEnd"/>
      <w:r>
        <w:t xml:space="preserve">.  See Document 62 n. 1.  Since the present document generally duplicates A 1308 and A 1309, which are in Dutch,  they have been omitted. </w:t>
      </w:r>
    </w:p>
    <w:p w:rsidR="002D2AFF" w:rsidRDefault="002D2AFF" w:rsidP="002D2AFF">
      <w:pPr>
        <w:pStyle w:val="FootnoteText"/>
      </w:pPr>
    </w:p>
  </w:footnote>
  <w:footnote w:id="4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2D2AFF" w:rsidRDefault="002D2AFF" w:rsidP="002D2AFF">
      <w:pPr>
        <w:pStyle w:val="Footnote-OneDigit"/>
      </w:pPr>
    </w:p>
  </w:footnote>
  <w:footnote w:id="5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  <w:t>Freiherr, “baron.”</w:t>
      </w:r>
    </w:p>
    <w:p w:rsidR="002D2AFF" w:rsidRDefault="002D2AFF" w:rsidP="002D2AFF">
      <w:pPr>
        <w:pStyle w:val="Footnote-OneDigit"/>
      </w:pPr>
    </w:p>
  </w:footnote>
  <w:footnote w:id="6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Sinceration</w:t>
      </w:r>
      <w:proofErr w:type="spellEnd"/>
      <w:r>
        <w:t xml:space="preserve">, “apparent or feigned sincerity.”  </w:t>
      </w:r>
    </w:p>
    <w:p w:rsidR="002D2AFF" w:rsidRDefault="002D2AFF" w:rsidP="002D2AFF">
      <w:pPr>
        <w:pStyle w:val="Footnote-OneDigit"/>
      </w:pPr>
    </w:p>
  </w:footnote>
  <w:footnote w:id="7">
    <w:p w:rsidR="002D2AFF" w:rsidRDefault="002D2AFF" w:rsidP="002D2AFF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rectâ</w:t>
      </w:r>
      <w:proofErr w:type="spellEnd"/>
      <w:r>
        <w:t xml:space="preserve"> [</w:t>
      </w:r>
      <w:proofErr w:type="spellStart"/>
      <w:r>
        <w:t>viâ</w:t>
      </w:r>
      <w:proofErr w:type="spellEnd"/>
      <w:r>
        <w:t>], “immediately, directly” (Latin).</w:t>
      </w:r>
    </w:p>
    <w:p w:rsidR="002D2AFF" w:rsidRDefault="002D2AFF" w:rsidP="002D2AFF">
      <w:pPr>
        <w:pStyle w:val="FirstFootnoteinColumnLine"/>
      </w:pPr>
    </w:p>
  </w:footnote>
  <w:footnote w:id="8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  <w:t>“convenience” (German).</w:t>
      </w:r>
    </w:p>
    <w:p w:rsidR="002D2AFF" w:rsidRDefault="002D2AFF" w:rsidP="002D2AFF">
      <w:pPr>
        <w:pStyle w:val="Footnote-OneDigit"/>
      </w:pPr>
    </w:p>
  </w:footnote>
  <w:footnote w:id="9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lebendes</w:t>
      </w:r>
      <w:proofErr w:type="spellEnd"/>
      <w:r>
        <w:t xml:space="preserve"> </w:t>
      </w:r>
      <w:proofErr w:type="spellStart"/>
      <w:r>
        <w:t>inventar</w:t>
      </w:r>
      <w:proofErr w:type="spellEnd"/>
      <w:r>
        <w:t xml:space="preserve"> means “livestock.”</w:t>
      </w:r>
    </w:p>
    <w:p w:rsidR="002D2AFF" w:rsidRDefault="002D2AFF" w:rsidP="002D2AFF">
      <w:pPr>
        <w:pStyle w:val="Footnote-OneDigit"/>
      </w:pPr>
    </w:p>
  </w:footnote>
  <w:footnote w:id="10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instrumentis</w:t>
      </w:r>
      <w:proofErr w:type="spellEnd"/>
      <w:r>
        <w:t xml:space="preserve"> </w:t>
      </w:r>
      <w:proofErr w:type="spellStart"/>
      <w:r>
        <w:t>rusticis</w:t>
      </w:r>
      <w:proofErr w:type="spellEnd"/>
      <w:r>
        <w:t>, “with farming implements” (Latin).</w:t>
      </w:r>
    </w:p>
    <w:p w:rsidR="002D2AFF" w:rsidRDefault="002D2AFF" w:rsidP="002D2AFF">
      <w:pPr>
        <w:pStyle w:val="Footnote-OneDigit"/>
      </w:pPr>
    </w:p>
  </w:footnote>
  <w:footnote w:id="11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  <w:t xml:space="preserve">in </w:t>
      </w:r>
      <w:proofErr w:type="spellStart"/>
      <w:r>
        <w:t>Nahrung</w:t>
      </w:r>
      <w:proofErr w:type="spellEnd"/>
      <w:r>
        <w:t xml:space="preserve"> </w:t>
      </w:r>
      <w:proofErr w:type="spellStart"/>
      <w:r>
        <w:t>setzen</w:t>
      </w:r>
      <w:proofErr w:type="spellEnd"/>
      <w:r>
        <w:t>, “to give employment to.”</w:t>
      </w:r>
    </w:p>
    <w:p w:rsidR="002D2AFF" w:rsidRDefault="002D2AFF" w:rsidP="002D2AFF">
      <w:pPr>
        <w:pStyle w:val="Footnote-OneDigit"/>
      </w:pPr>
    </w:p>
  </w:footnote>
  <w:footnote w:id="12">
    <w:p w:rsidR="002D2AFF" w:rsidRDefault="002D2AFF" w:rsidP="00B63657">
      <w:pPr>
        <w:pStyle w:val="Footnote-OneDigit"/>
      </w:pPr>
      <w:r>
        <w:rPr>
          <w:vertAlign w:val="superscript"/>
        </w:rPr>
        <w:footnoteRef/>
      </w:r>
      <w:r w:rsidR="00B63657">
        <w:rPr>
          <w:rStyle w:val="ChapterNumberforFootnote"/>
        </w:rPr>
        <w:t xml:space="preserve"> </w:t>
      </w:r>
      <w:r>
        <w:t xml:space="preserve">This is A 1313 from the De Hoop Scheffer </w:t>
      </w:r>
      <w:r>
        <w:rPr>
          <w:rStyle w:val="Italics"/>
        </w:rPr>
        <w:t>Inventaris</w:t>
      </w:r>
      <w:r>
        <w:t>.  This was also transcribed by Rijnders.  See Document 62 n. 1.  Since the present document generally duplicates A 1308 and A 1309, which are in Dutch,  they have been omitted</w:t>
      </w:r>
      <w:r w:rsidR="00B63657">
        <w:t>.</w:t>
      </w:r>
    </w:p>
  </w:footnote>
  <w:footnote w:id="13">
    <w:p w:rsidR="002D2AFF" w:rsidRDefault="002D2AFF" w:rsidP="00B63657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B63657">
        <w:t>.</w:t>
      </w:r>
    </w:p>
  </w:footnote>
  <w:footnote w:id="14">
    <w:p w:rsidR="002D2AFF" w:rsidRDefault="002D2AFF" w:rsidP="00B63657">
      <w:pPr>
        <w:pStyle w:val="Footnote-OneDigit"/>
      </w:pPr>
      <w:r>
        <w:rPr>
          <w:vertAlign w:val="superscript"/>
        </w:rPr>
        <w:footnoteRef/>
      </w:r>
      <w:r>
        <w:tab/>
        <w:t>Freiherr, “baron</w:t>
      </w:r>
      <w:r w:rsidR="00B63657">
        <w:t>.</w:t>
      </w:r>
    </w:p>
  </w:footnote>
  <w:footnote w:id="15">
    <w:p w:rsidR="002D2AFF" w:rsidRDefault="002D2AFF" w:rsidP="00B63657">
      <w:pPr>
        <w:pStyle w:val="Footnote-OneDigit"/>
      </w:pPr>
      <w:r>
        <w:rPr>
          <w:vertAlign w:val="superscript"/>
        </w:rPr>
        <w:footnoteRef/>
      </w:r>
      <w:r>
        <w:tab/>
        <w:t xml:space="preserve">Sinceration, “apparent or feigned sincerity.”  </w:t>
      </w:r>
    </w:p>
    <w:p w:rsidR="002D2AFF" w:rsidRDefault="002D2AFF" w:rsidP="00B63657">
      <w:pPr>
        <w:pStyle w:val="Footnote-OneDigit"/>
      </w:pPr>
    </w:p>
  </w:footnote>
  <w:footnote w:id="16">
    <w:p w:rsidR="002D2AFF" w:rsidRDefault="002D2AFF" w:rsidP="00B63657">
      <w:pPr>
        <w:pStyle w:val="Footnote-OneDigit"/>
      </w:pPr>
      <w:r>
        <w:rPr>
          <w:vertAlign w:val="superscript"/>
        </w:rPr>
        <w:footnoteRef/>
      </w:r>
      <w:r>
        <w:tab/>
        <w:t>rectâ [viâ], “immediately, directly” (Latin)</w:t>
      </w:r>
      <w:r w:rsidR="00B63657">
        <w:t>.</w:t>
      </w:r>
    </w:p>
  </w:footnote>
  <w:footnote w:id="17">
    <w:p w:rsidR="002D2AFF" w:rsidRDefault="002D2AFF" w:rsidP="00B63657">
      <w:pPr>
        <w:pStyle w:val="Footnote-OneDigit"/>
      </w:pPr>
      <w:r>
        <w:rPr>
          <w:vertAlign w:val="superscript"/>
        </w:rPr>
        <w:footnoteRef/>
      </w:r>
      <w:r>
        <w:tab/>
        <w:t>“convenience” (German)</w:t>
      </w:r>
      <w:r w:rsidR="00B63657">
        <w:t>.</w:t>
      </w:r>
    </w:p>
  </w:footnote>
  <w:footnote w:id="18">
    <w:p w:rsidR="002D2AFF" w:rsidRDefault="002D2AFF" w:rsidP="00B63657">
      <w:pPr>
        <w:pStyle w:val="Footnote-OneDigit"/>
      </w:pPr>
      <w:r>
        <w:rPr>
          <w:vertAlign w:val="superscript"/>
        </w:rPr>
        <w:footnoteRef/>
      </w:r>
      <w:r>
        <w:tab/>
        <w:t>lebendes inventar means “livestock</w:t>
      </w:r>
      <w:r w:rsidR="00B63657">
        <w:t>.</w:t>
      </w:r>
    </w:p>
  </w:footnote>
  <w:footnote w:id="19">
    <w:p w:rsidR="002D2AFF" w:rsidRDefault="002D2AFF" w:rsidP="00B63657">
      <w:pPr>
        <w:pStyle w:val="Footnote-OneDigit"/>
      </w:pPr>
      <w:r>
        <w:rPr>
          <w:vertAlign w:val="superscript"/>
        </w:rPr>
        <w:footnoteRef/>
      </w:r>
      <w:r>
        <w:tab/>
        <w:t>instrumentis rusticis, “with farming implements” (Latin)</w:t>
      </w:r>
      <w:r w:rsidR="00B63657">
        <w:t>.</w:t>
      </w:r>
    </w:p>
  </w:footnote>
  <w:footnote w:id="20">
    <w:p w:rsidR="002D2AFF" w:rsidRDefault="002D2AFF" w:rsidP="00B63657">
      <w:pPr>
        <w:pStyle w:val="Footnote-OneDigit"/>
      </w:pPr>
      <w:r>
        <w:rPr>
          <w:vertAlign w:val="superscript"/>
        </w:rPr>
        <w:footnoteRef/>
      </w:r>
      <w:r>
        <w:tab/>
        <w:t>in Nahrung setzen, “to give employment to</w:t>
      </w:r>
      <w:r w:rsidR="00B6365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D2AF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2D2AFF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2D2AF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D2AF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D2AF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D2AF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2AF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D2AF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2D2AF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D2AF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