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131, </w:t>
      </w:r>
      <w:r>
        <w:t xml:space="preserve">11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716-22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Cantzleÿ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8"/>
          <w:szCs w:val="28"/>
        </w:rPr>
      </w:pPr>
      <w:r w:rsidRPr="005359BC">
        <w:rPr>
          <w:rFonts w:ascii="Sabon LT Std" w:hAnsi="Sabon LT Std" w:cs="Sabon LT Std"/>
          <w:b/>
          <w:bCs/>
          <w:color w:val="000000"/>
          <w:sz w:val="28"/>
          <w:szCs w:val="28"/>
        </w:rPr>
        <w:t>131.  February 11, 1711.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2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[Seite 1]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Copia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3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"Bern, Canton of:Great (Sovereign) Council"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Recessus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Nachdeme in folg des von Ihro Hochmögenden den herren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General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Staaten der vereinigten Niederlanden unterm 30.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[X]bris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1710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 Lobl[ichen] Standt Bern abgelaßenen Schreibens durch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expresse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verordnete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Commission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mit deroselben nunzumahlen hier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befindlichen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Secretario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Herren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Runckel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wohlmeinliche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unterred gepflogen worden, auff welche geding hin die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Täufferische Personen nacher Hollandt abgeschickt und daselbsten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 wohl alß auch in Preüsischen Landen auffgenomen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könten;  Hatt lobl[iche]r Standt Bern nach heuth verstandenem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umbständlichen bericht, in wie weit namblichen mit Ihme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H[errn] Runckel eint und andere vorschlage beabredet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worden, demselben den darüber gefaßten entschluß durch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gegenwartigen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Recess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zu handen dessen hohen H[er]rn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4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Principalen freündlichen eröffnen wollen.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1)     Daß ein lobl[iche]r Standt Bern annoch in gleichen gedancken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verharre und nachgegeben haben wolle, daß denen von hier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nach Hollandt abreisenten Täufferischen Leüthen freÿstehen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solle, von dannen nach ihrem gefallen sich ins Preüsische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verfügen zukönnen;  Der hoffnung jedennoch, daß nach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angezogenen H[errn]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Secretarii Runckels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gethaner versicherung,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die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von hier abführente Taüffer nach der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Intention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Ihro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konigl[ichen] May[estät] in Preüsen nicht in alhiesiger Nachbahrschafft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als etwann hinter der Graffschafft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"Neuenburg"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Newenburg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"Valangin"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Valagen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hernach und zu keinen zeiten gedultet, sondern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von dannen weggeschaffet werden sollind, Eben also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hat ein Stand Bern verabfolgung halb dieser Täufferen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2] mitlen, dessen hievorige erkandnus dahin bestättiget, daß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der abreisendten wücklich entdeckte oder noch hervorkommende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mittel erkandter maßen von hier weggezogen werden mögind,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darunter auch derjenigen so würcklichen in hiesigem verhafft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befindten, zuständige mittel gemeint, ja wann gleich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deren einige den Gemeind oder kirchen-gütern zugelegt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wären, darunter aber nicht begriffen seÿn sollen jenige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Täuffersiche mittel, welche, von anderen ausgetrettenen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oder verwiesenen Täufferen herrühren, und den gemeindten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übergeben seÿn möchten.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2)     So laßt mann es hierseits nochmahlen darbeÿ bewendten daß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lastRenderedPageBreak/>
        <w:t xml:space="preserve">allen Täufferischen Personen, welche entweders von sich selbsten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auß dem Land begeben, oder sonsten aus forcht der behändigung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bis dahin verborgen gehalten, zu richtigmachung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mitnehmung ihrer mitlen hiesige Land wiederumb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betretten und zum vorschein kommen mögind.  Darbeÿ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aber kann mann auß erheblichen gründen nicht zugeben,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daß diejenige, so würcklich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bannisiret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, von Oberkeitswegen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verschickt, oder Lehrer und zeügnus geber seÿn mochten, gleicher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freyheit geniesen, sondern darvon außgeschlossen seÿn sollind.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3)     Und weilen auch gutfunden worden, daß die im Ober-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keitlichen verhafft sich befindliche Täuffer sambtlichen auff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stellende burgschafften hin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ledig gelaßen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werden und anbeÿ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versprechen sollind, auff begehren und bestimmente zeit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gebührend wieder einzufinden, und inzwischen weder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"secret meetings"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versamblungen noch andere unruhen anzustellen.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Also hat lobl[iche]r Stand Bern diesen und allen denjenigen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Täufferen, so der Amnestie vor Ihre Personen zwar nicht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geniesen können, bewilliget und zugestandten worden, Ihre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3]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etwann noch im Land habende mittel, so verborgen seÿn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möchten, durch die Ihrige oder Ihre gewaltshabere zu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beziehen, und ohne abstattung des abzugs wegzuführen.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4)     Die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"expulsion in 1711:time of departure"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abreiszeit dieser Täuffer Leüthen ist mit den H[errn]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Secretario Runckel dahin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regulieret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und verglichen worden,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daß namblichen denenselben zu Ihrer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emigration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abfuhr bis zu end künfftigen Brachmonaths zeit verstattet,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und über diß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termin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annoch ein Jahr vergönnet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solle, innert welchem Jahr Sie Ihre sachen in gäntzliche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richtigkeit bringen werden, zumahlen Ihnen jemand,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 den Sie sprechen würden, von der Ehrbahrkeit jegliche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Orths unter Oberkeitlicher bestättigung verordnet,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dieselben sonderlich zu schuldiger trew angehalten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sollind.  Der beÿläuffigen meinung, daß alle Taüffer zu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außfertigung der benöthigten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Specification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alle Ihr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Mittel und güther getrewlichen angeben, und ohne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betrug nahmhafft machen sollindt.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5)     Gleichwie von Lobl[iche]n Stand Bern, bereits unterm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23 deß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verwichenen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erkannt, daß diesen abziehenden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 Leüthen in betrachtung Ihrer Hochmögenden 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Herrn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General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Staaten einkommenen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recommendation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, sonderlich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aber auch angesehen, daß selbigen dieser Leüthen halb mit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keinen weiteren kösten beladen, sondern solche alsobald von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hierauß biß noch Holland ohne hiesigen Stands entgeltnus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übernommen werden sollind der sonst schuldige abzug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von Ihren mitnehmenden mitlen gnädig nachgelaßen,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denenselben darmit verschonet werden solle.  Alßo laßt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lastRenderedPageBreak/>
        <w:t xml:space="preserve">mann es nochmahlen darbeÿ ohnabgändert verbleiben,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"Reformed children and spouses"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"edict:of amnesty of Feb. 11, 1711"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>\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  <w:u w:val="thick"/>
        </w:rPr>
        <w:t>und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15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wollind über diß annoch zugeben, daß wann Reformirte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4]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Ehegatten, oder kindter ihren Täufferischen Ehegatten und Eltern </w:t>
      </w:r>
    </w:p>
    <w:p w:rsidR="005359BC" w:rsidRPr="005359BC" w:rsidRDefault="005359BC" w:rsidP="005359BC">
      <w:pPr>
        <w:tabs>
          <w:tab w:val="left" w:pos="54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ab/>
        <w:t>nachziehen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wolten, Sie gleicher abzugs freÿheit zugeniesen haben sollind.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6)     In ansehen dann derjenigen da nur Mann oder Weib, oder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nur eint oder andere kinder der Täufferischen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zugethan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wären, und doch sambtlichen von hinnen ziehen wolten, und was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dergleichen mehr sich begeben könte etc. \</w:t>
      </w:r>
      <w:r w:rsidRPr="005359BC">
        <w:rPr>
          <w:rFonts w:ascii="Sabon LT Std" w:hAnsi="Sabon LT Std" w:cs="Sabon LT Std"/>
          <w:color w:val="000000"/>
          <w:sz w:val="21"/>
          <w:szCs w:val="21"/>
          <w:u w:val="thick"/>
        </w:rPr>
        <w:t>Ha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 ein Lobl[iche]r Stand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Bern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auch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in eventum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16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statuiret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,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17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daß wann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reformirte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Ehegatten,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Item Eltern, kindter, so etwann ihren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respective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Täufferisch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gesinnten Ehegatten, Eltern oder kindern gutwillig folgen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mit Ihnen wegreisen wolten, daß dann zumahlen solches dergleichen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Personen mit auffgebung des Land und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instrText>xe "citizen rights"</w:instrTex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Mann-rechtens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verwilliget seÿn solte.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7)     Endlichen so kann ein lobl[iche]r Standt Bern außerheblichen ursachen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nicht zugeben, daß Täufferische Deputirte auß Holland sich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allhero verfügen, und die hiesige Täuffer im Land auffsuchen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thuend, sondern versehend sich, daß durch erfolgende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publication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die Täuffer sich selbsten wohl anmelden, und ohne dieselben von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hier abreisen könnendt.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    Ihro hochmögenden hierwesenden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Secretarium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Herren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Runckel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demnach freünd dienstlichen ersuchende Lobl[ichen]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Stands Bern hiereien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8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begriffenen wohlmeinlichen entschluß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seinen hohen H[er]rn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9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Principalen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ohnbeschwerd zuzusenden,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und die darüber erwartente antwort zu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participiren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>.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20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 indessen ein Stand Bern sich angelegen seÿn laßen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wird, alle erförderliche anstalt zu befürderung dieser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Leuthen abreis bester maßen zu verfügen.  Geben in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Bern den 11ten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februarii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1711./.</w:t>
      </w:r>
    </w:p>
    <w:p w:rsidR="0084002E" w:rsidRDefault="005359BC" w:rsidP="005359BC"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  <w:t>Cantzleÿ Bern.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359BC" w:rsidRDefault="005359BC" w:rsidP="005359B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131</w:t>
      </w:r>
      <w:r>
        <w:tab/>
      </w:r>
      <w:r>
        <w:rPr>
          <w:rStyle w:val="FootnoteReference"/>
        </w:rPr>
        <w:tab/>
      </w:r>
      <w:r>
        <w:t xml:space="preserve">This is A 1315b from the De Hoop Scheffer </w:t>
      </w:r>
      <w:r>
        <w:rPr>
          <w:rStyle w:val="Italics"/>
        </w:rPr>
        <w:t>Inventaris</w:t>
      </w:r>
      <w:r>
        <w:t xml:space="preserve">.  </w:t>
      </w:r>
    </w:p>
    <w:p w:rsidR="005359BC" w:rsidRDefault="005359BC" w:rsidP="005359BC">
      <w:pPr>
        <w:pStyle w:val="FootnoteText"/>
      </w:pPr>
    </w:p>
  </w:footnote>
  <w:footnote w:id="4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5359BC" w:rsidRDefault="005359BC" w:rsidP="005359BC">
      <w:pPr>
        <w:pStyle w:val="Footnote-OneDigit"/>
      </w:pPr>
    </w:p>
  </w:footnote>
  <w:footnote w:id="5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 xml:space="preserve">The abbreviation </w:t>
      </w:r>
      <w:r>
        <w:rPr>
          <w:strike/>
        </w:rPr>
        <w:t>HHC</w:t>
      </w:r>
      <w:r>
        <w:t>rn has been so interpreted.</w:t>
      </w:r>
    </w:p>
    <w:p w:rsidR="005359BC" w:rsidRDefault="005359BC" w:rsidP="005359BC">
      <w:pPr>
        <w:pStyle w:val="Footnote-OneDigit"/>
      </w:pPr>
    </w:p>
  </w:footnote>
  <w:footnote w:id="6">
    <w:p w:rsidR="005359BC" w:rsidRDefault="005359BC" w:rsidP="005359BC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There is a mark beneath and to the left of </w:t>
      </w:r>
      <w:r>
        <w:rPr>
          <w:rStyle w:val="Italics"/>
        </w:rPr>
        <w:t>und</w:t>
      </w:r>
      <w:r>
        <w:t xml:space="preserve"> here and another seven lines below before the word </w:t>
      </w:r>
      <w:r>
        <w:rPr>
          <w:rStyle w:val="Italics"/>
        </w:rPr>
        <w:t>hat</w:t>
      </w:r>
      <w:r>
        <w:t xml:space="preserve"> in number 6).  It appears that the writer wanted to remove the words from </w:t>
      </w:r>
      <w:r>
        <w:rPr>
          <w:rStyle w:val="Italics"/>
        </w:rPr>
        <w:t>und</w:t>
      </w:r>
      <w:r>
        <w:t xml:space="preserve"> down to the end of number 5) and insert them in front of the word </w:t>
      </w:r>
      <w:r>
        <w:rPr>
          <w:rStyle w:val="Italics"/>
        </w:rPr>
        <w:t>hat</w:t>
      </w:r>
      <w:r>
        <w:t xml:space="preserve"> in number 6).</w:t>
      </w:r>
    </w:p>
    <w:p w:rsidR="005359BC" w:rsidRDefault="005359BC" w:rsidP="005359BC">
      <w:pPr>
        <w:pStyle w:val="FirstFootnoteinColumnLine"/>
      </w:pPr>
    </w:p>
  </w:footnote>
  <w:footnote w:id="7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eventum</w:t>
      </w:r>
      <w:r>
        <w:t>, “in [such a] case” (Latin).</w:t>
      </w:r>
    </w:p>
    <w:p w:rsidR="005359BC" w:rsidRDefault="005359BC" w:rsidP="005359BC">
      <w:pPr>
        <w:pStyle w:val="Footnote-OneDigit"/>
      </w:pPr>
    </w:p>
  </w:footnote>
  <w:footnote w:id="8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statuiret</w:t>
      </w:r>
      <w:r>
        <w:t>, “affirms” (German).</w:t>
      </w:r>
    </w:p>
    <w:p w:rsidR="005359BC" w:rsidRDefault="005359BC" w:rsidP="005359BC">
      <w:pPr>
        <w:pStyle w:val="Footnote-OneDigit"/>
      </w:pPr>
    </w:p>
  </w:footnote>
  <w:footnote w:id="9">
    <w:p w:rsidR="005359BC" w:rsidRDefault="005359BC" w:rsidP="005359BC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seems to be intended for </w:t>
      </w:r>
      <w:r>
        <w:rPr>
          <w:rStyle w:val="Italics"/>
        </w:rPr>
        <w:t>hierein</w:t>
      </w:r>
      <w:r>
        <w:t>.</w:t>
      </w:r>
    </w:p>
    <w:p w:rsidR="005359BC" w:rsidRDefault="005359BC" w:rsidP="005359BC">
      <w:pPr>
        <w:pStyle w:val="FirstFootnoteinColumnLine"/>
      </w:pPr>
    </w:p>
  </w:footnote>
  <w:footnote w:id="10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strike/>
        </w:rPr>
        <w:t>HHC</w:t>
      </w:r>
      <w:r>
        <w:t>rn.</w:t>
      </w:r>
    </w:p>
    <w:p w:rsidR="005359BC" w:rsidRDefault="005359BC" w:rsidP="005359BC">
      <w:pPr>
        <w:pStyle w:val="Footnote-OneDigit"/>
      </w:pPr>
    </w:p>
  </w:footnote>
  <w:footnote w:id="11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>participiren, “to share” (German).</w:t>
      </w:r>
    </w:p>
    <w:p w:rsidR="005359BC" w:rsidRDefault="005359BC" w:rsidP="005359BC">
      <w:pPr>
        <w:pStyle w:val="Footnote-OneDigit"/>
      </w:pPr>
    </w:p>
  </w:footnote>
  <w:footnote w:id="12">
    <w:p w:rsidR="005359BC" w:rsidRDefault="005359BC" w:rsidP="002F5EC7">
      <w:pPr>
        <w:pStyle w:val="Footnote-OneDigit"/>
      </w:pPr>
      <w:r>
        <w:rPr>
          <w:vertAlign w:val="superscript"/>
        </w:rPr>
        <w:footnoteRef/>
      </w:r>
      <w:r w:rsidR="002F5EC7">
        <w:rPr>
          <w:rStyle w:val="ChapterNumberforFootnote"/>
        </w:rPr>
        <w:t xml:space="preserve"> </w:t>
      </w:r>
      <w:r>
        <w:t xml:space="preserve">This is A 1315b from the De Hoop Scheffer </w:t>
      </w:r>
      <w:r>
        <w:rPr>
          <w:rStyle w:val="Italics"/>
        </w:rPr>
        <w:t>Inventaris</w:t>
      </w:r>
      <w:r w:rsidR="002F5EC7">
        <w:t>.</w:t>
      </w:r>
    </w:p>
  </w:footnote>
  <w:footnote w:id="13">
    <w:p w:rsidR="005359BC" w:rsidRDefault="005359BC" w:rsidP="002F5EC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2F5EC7">
        <w:t>.</w:t>
      </w:r>
    </w:p>
  </w:footnote>
  <w:footnote w:id="14">
    <w:p w:rsidR="005359BC" w:rsidRDefault="005359BC" w:rsidP="002F5EC7">
      <w:pPr>
        <w:pStyle w:val="Footnote-OneDigit"/>
      </w:pPr>
      <w:r>
        <w:rPr>
          <w:vertAlign w:val="superscript"/>
        </w:rPr>
        <w:footnoteRef/>
      </w:r>
      <w:r>
        <w:tab/>
        <w:t xml:space="preserve">The abbreviation </w:t>
      </w:r>
      <w:r>
        <w:rPr>
          <w:strike/>
        </w:rPr>
        <w:t>HHC</w:t>
      </w:r>
      <w:r>
        <w:t>rn has been so interpreted</w:t>
      </w:r>
      <w:r w:rsidR="002F5EC7">
        <w:t>.</w:t>
      </w:r>
    </w:p>
  </w:footnote>
  <w:footnote w:id="15">
    <w:p w:rsidR="005359BC" w:rsidRDefault="005359BC" w:rsidP="002F5EC7">
      <w:pPr>
        <w:pStyle w:val="Footnote-OneDigit"/>
      </w:pPr>
      <w:r>
        <w:rPr>
          <w:vertAlign w:val="superscript"/>
        </w:rPr>
        <w:footnoteRef/>
      </w:r>
      <w:r>
        <w:tab/>
        <w:t xml:space="preserve">There is a mark beneath and to the left of </w:t>
      </w:r>
      <w:r>
        <w:rPr>
          <w:rStyle w:val="Italics"/>
        </w:rPr>
        <w:t>und</w:t>
      </w:r>
      <w:r>
        <w:t xml:space="preserve"> here and another seven lines below before the word </w:t>
      </w:r>
      <w:r>
        <w:rPr>
          <w:rStyle w:val="Italics"/>
        </w:rPr>
        <w:t>hat</w:t>
      </w:r>
      <w:r>
        <w:t xml:space="preserve"> in number 6).  It appears that the writer wanted to remove the words from </w:t>
      </w:r>
      <w:r>
        <w:rPr>
          <w:rStyle w:val="Italics"/>
        </w:rPr>
        <w:t>und</w:t>
      </w:r>
      <w:r>
        <w:t xml:space="preserve"> down to the end of number 5) and insert them in front of the word </w:t>
      </w:r>
      <w:r>
        <w:rPr>
          <w:rStyle w:val="Italics"/>
        </w:rPr>
        <w:t>hat</w:t>
      </w:r>
      <w:r>
        <w:t xml:space="preserve"> in number 6)</w:t>
      </w:r>
      <w:r w:rsidR="002F5EC7">
        <w:t>.</w:t>
      </w:r>
    </w:p>
  </w:footnote>
  <w:footnote w:id="16">
    <w:p w:rsidR="005359BC" w:rsidRDefault="005359BC" w:rsidP="002F5EC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eventum</w:t>
      </w:r>
      <w:r>
        <w:t>, “in [such a] case” (Latin)</w:t>
      </w:r>
      <w:r w:rsidR="002F5EC7">
        <w:t>.</w:t>
      </w:r>
    </w:p>
  </w:footnote>
  <w:footnote w:id="17">
    <w:p w:rsidR="005359BC" w:rsidRDefault="005359BC" w:rsidP="002F5EC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statuiret</w:t>
      </w:r>
      <w:r>
        <w:t>, “affirms” (German)</w:t>
      </w:r>
      <w:r w:rsidR="002F5EC7">
        <w:t>.</w:t>
      </w:r>
    </w:p>
  </w:footnote>
  <w:footnote w:id="18">
    <w:p w:rsidR="005359BC" w:rsidRDefault="005359BC" w:rsidP="002F5EC7">
      <w:pPr>
        <w:pStyle w:val="Footnote-OneDigit"/>
      </w:pPr>
      <w:r>
        <w:rPr>
          <w:vertAlign w:val="superscript"/>
        </w:rPr>
        <w:footnoteRef/>
      </w:r>
      <w:r>
        <w:tab/>
        <w:t xml:space="preserve">This seems to be intended for </w:t>
      </w:r>
      <w:r>
        <w:rPr>
          <w:rStyle w:val="Italics"/>
        </w:rPr>
        <w:t>hierein</w:t>
      </w:r>
      <w:r w:rsidR="002F5EC7">
        <w:t>.</w:t>
      </w:r>
    </w:p>
  </w:footnote>
  <w:footnote w:id="19">
    <w:p w:rsidR="005359BC" w:rsidRDefault="005359BC" w:rsidP="002F5EC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strike/>
        </w:rPr>
        <w:t>HHC</w:t>
      </w:r>
      <w:r>
        <w:t>rn</w:t>
      </w:r>
      <w:r w:rsidR="002F5EC7">
        <w:t>.</w:t>
      </w:r>
    </w:p>
  </w:footnote>
  <w:footnote w:id="20">
    <w:p w:rsidR="005359BC" w:rsidRDefault="005359BC" w:rsidP="002F5EC7">
      <w:pPr>
        <w:pStyle w:val="Footnote-OneDigit"/>
      </w:pPr>
      <w:r>
        <w:rPr>
          <w:vertAlign w:val="superscript"/>
        </w:rPr>
        <w:footnoteRef/>
      </w:r>
      <w:r>
        <w:tab/>
        <w:t>participiren, “to share” (German)</w:t>
      </w:r>
      <w:r w:rsidR="002F5EC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1315.02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rsid w:val="005359B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9B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359BC"/>
    <w:rPr>
      <w:sz w:val="20"/>
      <w:szCs w:val="20"/>
      <w:vertAlign w:val="baseline"/>
    </w:rPr>
  </w:style>
  <w:style w:type="character" w:styleId="FootnoteReference">
    <w:name w:val="footnote reference"/>
    <w:basedOn w:val="DefaultParagraphFont"/>
    <w:uiPriority w:val="99"/>
    <w:rsid w:val="005359BC"/>
    <w:rPr>
      <w:w w:val="100"/>
      <w:vertAlign w:val="superscript"/>
    </w:rPr>
  </w:style>
  <w:style w:type="character" w:customStyle="1" w:styleId="Italics">
    <w:name w:val="Italics"/>
    <w:uiPriority w:val="99"/>
    <w:rsid w:val="005359BC"/>
    <w:rPr>
      <w:i/>
      <w:iCs/>
    </w:rPr>
  </w:style>
  <w:style w:type="paragraph" w:customStyle="1" w:styleId="Footnote-OneDigit">
    <w:name w:val="Footnote-One Digit"/>
    <w:basedOn w:val="Normal"/>
    <w:uiPriority w:val="99"/>
    <w:rsid w:val="005359B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359B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