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140, </w:t>
      </w:r>
      <w:r>
        <w:t xml:space="preserve">25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768-70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30D40" w:rsidRDefault="00630D40" w:rsidP="00630D40">
      <w:pPr>
        <w:pStyle w:val="FirstParagraph"/>
      </w:pPr>
      <w:r>
        <w:t>140.  February 25, 1711.</w:t>
      </w:r>
      <w:r>
        <w:rPr>
          <w:rStyle w:val="FootnoteReference"/>
        </w:rPr>
        <w:footnoteReference w:id="11"/>
      </w:r>
    </w:p>
    <w:p w:rsidR="00630D40" w:rsidRDefault="00630D40" w:rsidP="00630D40">
      <w:pPr>
        <w:pStyle w:val="OriginalText"/>
        <w:rPr>
          <w:sz w:val="21"/>
          <w:szCs w:val="21"/>
        </w:rPr>
      </w:pP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den 25 </w:t>
      </w:r>
      <w:r>
        <w:rPr>
          <w:rStyle w:val="Italics"/>
          <w:sz w:val="21"/>
          <w:szCs w:val="21"/>
        </w:rPr>
        <w:t>febr[uari]</w:t>
      </w:r>
      <w:r>
        <w:rPr>
          <w:sz w:val="21"/>
          <w:szCs w:val="21"/>
        </w:rPr>
        <w:t xml:space="preserve"> 1711.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ware vom 21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, welches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verhoffentlich wohl wird einkommen seÿn.  Seit deme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 in der hiesigen armen Täuffer Sach weiters nichts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passiret, alß daß die Freÿheits-P[lacard ..........]</w:t>
      </w:r>
      <w:r>
        <w:rPr>
          <w:rStyle w:val="FootnoteReference"/>
          <w:sz w:val="21"/>
          <w:szCs w:val="21"/>
        </w:rPr>
        <w:footnoteReference w:id="13"/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 truck und zum vorschein kommen, wie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g[eehrten] herren auß denen nebengehenten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ersehen belieben wollen.  Nunmehro wird solche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nechstens in allen kirchen offentlich verlesen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gewöhnlichen Orthen im gantzen Land publiciret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affigiret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werden.  Ich aber werde mir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angelegen seÿn laßen, solche so wohl in das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"Neuchâtel:edict of amnesty published"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Newenburgische als sonsten aller Orthen hinzusenden,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nur weis daß einige Mennonitten sich auffhalten,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diejenige so </w:t>
      </w:r>
      <w:r>
        <w:rPr>
          <w:rStyle w:val="Italics"/>
          <w:sz w:val="21"/>
          <w:szCs w:val="21"/>
        </w:rPr>
        <w:t>habiles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umb darvon zu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profitiren, solches in zeiten thun mögen.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Unter denen 15 sich noch allhier in der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Anabaptists:poverty of some"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gefängnus befindenten Täufferen seind 10 Personen,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so, ob Sie wohlen Ihre Bürgen, dennoch ehenter nicht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freÿen fuß gestellet werden sollen, sie haben,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 vorhero eine jede 25 R[eichs]th[ale]r behändiguns-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kosten, gleich allen anderen, bezahlt.  Weilen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solche aber diese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25 R[eichs]th[ale]r auß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groser armuth zu bezahlen nicht vermögen, alß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bearbeite mich beÿ einem lobl[iche]n Standt Bern,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es, wo möglich, dahin zubringen, daß mann Ihnen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solche entweders gantz oder doch zum theil nachlaßen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möge.  Wo dieses aber nicht angehen solte,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 trachten Ihnen auß dem annoch vorhandenen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wenigen d[...............]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der mir von M[eine] h[och] g[eehrte] herren über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machten geldern undt sonsten zu helffen, damit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auch der Freÿheit geniesen mögen, obwohlen Sie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wegen ihrer grosen armuth darbeÿ nicht viel zu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gewinnen.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habe M[eine] h[och] g[eehrte] herren hiermit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vertrauwen zweÿ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von Ihrer konigl[ichen]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May[estä]t in Preüsen an dero allhiesigen </w:t>
      </w:r>
      <w:r>
        <w:rPr>
          <w:rStyle w:val="Italics"/>
          <w:sz w:val="21"/>
          <w:szCs w:val="21"/>
        </w:rPr>
        <w:t>Ministrum</w:t>
      </w:r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Bondelÿ communiciren</w:t>
      </w:r>
      <w:r>
        <w:rPr>
          <w:sz w:val="21"/>
          <w:szCs w:val="21"/>
        </w:rPr>
        <w:t xml:space="preserve"> sollen, damit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r>
        <w:rPr>
          <w:rStyle w:val="Italics"/>
          <w:sz w:val="21"/>
          <w:szCs w:val="21"/>
        </w:rPr>
        <w:t>in omnem eventum</w:t>
      </w:r>
      <w:r>
        <w:rPr>
          <w:sz w:val="21"/>
          <w:szCs w:val="21"/>
        </w:rPr>
        <w:t xml:space="preserve"> ihre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darnach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 können.  Es scheinet der königl[iche] Preüsische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 seÿe umb keiner anderen ursache willen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jaloux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inquiet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umb diese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arme Leüthe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Seinen Landten zu haben, alß daß  Er Sich einbildet,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seÿen solche lauter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"Croesus"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Croesus</w:t>
      </w:r>
      <w:r>
        <w:rPr>
          <w:sz w:val="21"/>
          <w:szCs w:val="21"/>
        </w:rPr>
        <w:t xml:space="preserve">, so das so beliebt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belobte </w:t>
      </w:r>
      <w:r>
        <w:rPr>
          <w:rStyle w:val="Italics"/>
          <w:sz w:val="21"/>
          <w:szCs w:val="21"/>
        </w:rPr>
        <w:t>Peru</w:t>
      </w:r>
      <w:r>
        <w:rPr>
          <w:sz w:val="21"/>
          <w:szCs w:val="21"/>
        </w:rPr>
        <w:t xml:space="preserve"> mit dahin bringen sollen,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derohalben werde, umb ermeltem Hoff die übel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begründete meinung zu benehmen, herren </w:t>
      </w:r>
      <w:r>
        <w:rPr>
          <w:rStyle w:val="Italics"/>
          <w:sz w:val="21"/>
          <w:szCs w:val="21"/>
        </w:rPr>
        <w:t>Envoÿé</w:t>
      </w:r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Bondelÿ</w:t>
      </w:r>
      <w:r>
        <w:rPr>
          <w:sz w:val="21"/>
          <w:szCs w:val="21"/>
        </w:rPr>
        <w:t xml:space="preserve"> einige </w:t>
      </w:r>
      <w:r>
        <w:rPr>
          <w:rStyle w:val="Italics"/>
          <w:sz w:val="21"/>
          <w:szCs w:val="21"/>
        </w:rPr>
        <w:t>remarques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zu stellen, welche seinem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und Meister das </w:t>
      </w:r>
      <w:r>
        <w:rPr>
          <w:rStyle w:val="Italics"/>
          <w:sz w:val="21"/>
          <w:szCs w:val="21"/>
        </w:rPr>
        <w:t>contrarium</w:t>
      </w:r>
      <w:r>
        <w:rPr>
          <w:sz w:val="21"/>
          <w:szCs w:val="21"/>
        </w:rPr>
        <w:t xml:space="preserve"> gewißlich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 augen legen werden.  Indessen verharre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allseitigen Göttlicher Schutz erlaßung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schönster Empfehlung meiner und der meinigen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 andächtiges gebett.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sonders hochgeehrten herren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P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30D40" w:rsidRDefault="00630D40" w:rsidP="00630D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140</w:t>
      </w:r>
      <w:r>
        <w:tab/>
      </w:r>
      <w:r>
        <w:rPr>
          <w:rStyle w:val="FootnoteReference"/>
        </w:rPr>
        <w:tab/>
      </w:r>
      <w:r>
        <w:t xml:space="preserve">This is A 1318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30D40" w:rsidRDefault="00630D40" w:rsidP="00630D40">
      <w:pPr>
        <w:pStyle w:val="FootnoteText"/>
      </w:pPr>
    </w:p>
  </w:footnote>
  <w:footnote w:id="4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5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>The manuscript is creased here and not readable.</w:t>
      </w:r>
    </w:p>
    <w:p w:rsidR="00630D40" w:rsidRDefault="00630D40" w:rsidP="00630D40">
      <w:pPr>
        <w:pStyle w:val="Footnote-OneDigit"/>
      </w:pPr>
    </w:p>
  </w:footnote>
  <w:footnote w:id="6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affigiren</w:t>
      </w:r>
      <w:proofErr w:type="spellEnd"/>
      <w:r>
        <w:t>, “to post, hang up” (German).</w:t>
      </w:r>
    </w:p>
    <w:p w:rsidR="00630D40" w:rsidRDefault="00630D40" w:rsidP="00630D40">
      <w:pPr>
        <w:pStyle w:val="Footnote-OneDigit"/>
      </w:pPr>
    </w:p>
  </w:footnote>
  <w:footnote w:id="7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habilis</w:t>
      </w:r>
      <w:r>
        <w:t xml:space="preserve">, “suitable, convenient, apt” (Latin); German loanword, </w:t>
      </w:r>
      <w:proofErr w:type="spellStart"/>
      <w:r>
        <w:rPr>
          <w:rStyle w:val="Italics"/>
        </w:rPr>
        <w:t>habil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8">
    <w:p w:rsidR="00630D40" w:rsidRDefault="00630D40" w:rsidP="00630D40">
      <w:pPr>
        <w:pStyle w:val="FirstFootnoteinColumnLine"/>
      </w:pPr>
      <w:r>
        <w:rPr>
          <w:vertAlign w:val="superscript"/>
        </w:rPr>
        <w:footnoteRef/>
      </w:r>
      <w:r>
        <w:tab/>
        <w:t>Here as on the other side of the sheet, the manuscript cannot be read.</w:t>
      </w:r>
    </w:p>
    <w:p w:rsidR="00630D40" w:rsidRDefault="00630D40" w:rsidP="00630D40">
      <w:pPr>
        <w:pStyle w:val="FirstFootnoteinColumnLine"/>
      </w:pPr>
    </w:p>
  </w:footnote>
  <w:footnote w:id="9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jaloux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inquiet</w:t>
      </w:r>
      <w:proofErr w:type="spellEnd"/>
      <w:r>
        <w:t>, “jealous, troubled” (French).</w:t>
      </w:r>
    </w:p>
    <w:p w:rsidR="00630D40" w:rsidRDefault="00630D40" w:rsidP="00630D40">
      <w:pPr>
        <w:pStyle w:val="Footnote-OneDigit"/>
      </w:pPr>
    </w:p>
  </w:footnote>
  <w:footnote w:id="10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remarque</w:t>
      </w:r>
      <w:r>
        <w:t>, “remark” (French).</w:t>
      </w:r>
    </w:p>
    <w:p w:rsidR="00630D40" w:rsidRDefault="00630D40" w:rsidP="00630D40">
      <w:pPr>
        <w:pStyle w:val="Footnote-OneDigit"/>
      </w:pPr>
    </w:p>
  </w:footnote>
  <w:footnote w:id="11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 w:rsidR="0007081F">
        <w:rPr>
          <w:rStyle w:val="ChapterNumberforFootnote"/>
        </w:rPr>
        <w:t xml:space="preserve"> </w:t>
      </w:r>
      <w:r>
        <w:t xml:space="preserve">This is A 1318 from the De Hoop Scheffer </w:t>
      </w:r>
      <w:r>
        <w:rPr>
          <w:rStyle w:val="Italics"/>
        </w:rPr>
        <w:t>Inventaris</w:t>
      </w:r>
      <w:r w:rsidR="0007081F">
        <w:t>.</w:t>
      </w:r>
    </w:p>
  </w:footnote>
  <w:footnote w:id="12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7081F">
        <w:t>.</w:t>
      </w:r>
    </w:p>
  </w:footnote>
  <w:footnote w:id="13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  <w:t>The manuscript is creased here and not readable</w:t>
      </w:r>
      <w:r w:rsidR="0007081F">
        <w:t>.</w:t>
      </w:r>
    </w:p>
  </w:footnote>
  <w:footnote w:id="14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affigiren</w:t>
      </w:r>
      <w:r>
        <w:t>, “to post, hang up” (German)</w:t>
      </w:r>
      <w:r w:rsidR="0007081F">
        <w:t>.</w:t>
      </w:r>
    </w:p>
  </w:footnote>
  <w:footnote w:id="15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habilis</w:t>
      </w:r>
      <w:r>
        <w:t xml:space="preserve">, “suitable, convenient, apt” (Latin); German loanword, </w:t>
      </w:r>
      <w:r>
        <w:rPr>
          <w:rStyle w:val="Italics"/>
        </w:rPr>
        <w:t>habil</w:t>
      </w:r>
      <w:r w:rsidR="0007081F">
        <w:t>.</w:t>
      </w:r>
    </w:p>
  </w:footnote>
  <w:footnote w:id="16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  <w:t>Here as on the other side of the sheet, the manuscript cannot be read</w:t>
      </w:r>
      <w:r w:rsidR="0007081F">
        <w:t>.</w:t>
      </w:r>
    </w:p>
  </w:footnote>
  <w:footnote w:id="17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jaloux, inquiet</w:t>
      </w:r>
      <w:r>
        <w:t>, “jealous, troubled” (French)</w:t>
      </w:r>
      <w:r w:rsidR="0007081F">
        <w:t>.</w:t>
      </w:r>
    </w:p>
  </w:footnote>
  <w:footnote w:id="18">
    <w:p w:rsidR="00630D40" w:rsidRDefault="00630D40" w:rsidP="0007081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remarque</w:t>
      </w:r>
      <w:r>
        <w:t>, “remark” (French)</w:t>
      </w:r>
      <w:r w:rsidR="0007081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30D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30D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30D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0D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30D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30D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30D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