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169, </w:t>
      </w:r>
      <w:r>
        <w:t xml:space="preserve">23 June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948.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23 June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Saldenus, Hendrik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The Hague,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Beets, Cornelis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[Amsterdam,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D62A93" w:rsidRDefault="00D62A93" w:rsidP="00D62A93">
      <w:pPr>
        <w:pStyle w:val="FirstParagraph"/>
      </w:pPr>
      <w:r>
        <w:t>169.  June 23, 1711.</w:t>
      </w:r>
      <w:r>
        <w:rPr>
          <w:rStyle w:val="FootnoteReference"/>
        </w:rPr>
        <w:footnoteReference w:id="5"/>
      </w:r>
    </w:p>
    <w:p w:rsidR="00D62A93" w:rsidRDefault="00D62A93" w:rsidP="00D62A93">
      <w:pPr>
        <w:pStyle w:val="OriginalText"/>
        <w:rPr>
          <w:sz w:val="21"/>
          <w:szCs w:val="21"/>
        </w:rPr>
      </w:pP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hage den 23 Junij </w:t>
      </w:r>
      <w:r>
        <w:rPr>
          <w:rStyle w:val="Italics"/>
          <w:sz w:val="21"/>
          <w:szCs w:val="21"/>
        </w:rPr>
        <w:t>1711</w:t>
      </w:r>
      <w:r>
        <w:rPr>
          <w:sz w:val="21"/>
          <w:szCs w:val="21"/>
        </w:rPr>
        <w:t>.</w:t>
      </w: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Heer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"Beets, Cornelis, Zonist:visits officials at The Hague"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Cornelis Beets.</w:t>
      </w: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Mijn heer. Ik hoope dat uEd[ele] met de heeren desselfs medebroeders</w:t>
      </w: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t’ zijner tijd wel tot Amst[erdam] sal gearriveert zijn.</w:t>
      </w: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Hiernevens gaet de depesche voor de h[ee]r Runkel, die ik niet voor</w:t>
      </w: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huijden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heb konnen magtig werden; en twijffele niet off deselve</w:t>
      </w: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sal tot genoegen sijn. En dese tot geen ander eijnde als tot</w:t>
      </w: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vergeselling daer van dienende, sal deselve niet verlengen als met</w:t>
      </w: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bede, dat uEd[ele] gelieve versekert te zijn, dat blijve</w:t>
      </w: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Mijn Heer, </w:t>
      </w: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UEd[ele] ootmoedigen Dienaer</w:t>
      </w:r>
    </w:p>
    <w:p w:rsidR="0084002E" w:rsidRDefault="00D62A93" w:rsidP="00D62A93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"Saldanus, Hendrik (Saldenus)"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H. Saldenus.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D62A93" w:rsidRDefault="00D62A93" w:rsidP="00D62A93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169</w:t>
      </w:r>
      <w:r>
        <w:tab/>
      </w:r>
      <w:r>
        <w:rPr>
          <w:rStyle w:val="FootnoteReference"/>
        </w:rPr>
        <w:tab/>
      </w:r>
      <w:r>
        <w:t xml:space="preserve">This is A 1336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D62A93" w:rsidRDefault="00D62A93" w:rsidP="00D62A93">
      <w:pPr>
        <w:pStyle w:val="FootnoteText"/>
      </w:pPr>
    </w:p>
  </w:footnote>
  <w:footnote w:id="4">
    <w:p w:rsidR="00D62A93" w:rsidRDefault="00D62A93" w:rsidP="00D62A93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heden</w:t>
      </w:r>
      <w:proofErr w:type="spellEnd"/>
      <w:r>
        <w:t>.”</w:t>
      </w:r>
    </w:p>
    <w:p w:rsidR="00D62A93" w:rsidRDefault="00D62A93" w:rsidP="00D62A93">
      <w:pPr>
        <w:pStyle w:val="Footnote-OneDigit"/>
      </w:pPr>
    </w:p>
  </w:footnote>
  <w:footnote w:id="5">
    <w:p w:rsidR="00D62A93" w:rsidRDefault="00D62A93" w:rsidP="00326938">
      <w:pPr>
        <w:pStyle w:val="Footnote-OneDigit"/>
      </w:pPr>
      <w:r>
        <w:rPr>
          <w:vertAlign w:val="superscript"/>
        </w:rPr>
        <w:footnoteRef/>
      </w:r>
      <w:r w:rsidR="00326938">
        <w:rPr>
          <w:rStyle w:val="ChapterNumberforFootnote"/>
        </w:rPr>
        <w:t xml:space="preserve"> </w:t>
      </w:r>
      <w:r>
        <w:t xml:space="preserve">This is A 1336 from the De Hoop Scheffer </w:t>
      </w:r>
      <w:r>
        <w:rPr>
          <w:rStyle w:val="Italics"/>
        </w:rPr>
        <w:t>Inventaris</w:t>
      </w:r>
      <w:r w:rsidR="00326938">
        <w:t>.</w:t>
      </w:r>
    </w:p>
  </w:footnote>
  <w:footnote w:id="6">
    <w:p w:rsidR="00D62A93" w:rsidRDefault="00D62A93" w:rsidP="00326938">
      <w:pPr>
        <w:pStyle w:val="Footnote-OneDigit"/>
      </w:pPr>
      <w:r>
        <w:rPr>
          <w:vertAlign w:val="superscript"/>
        </w:rPr>
        <w:footnoteRef/>
      </w:r>
      <w:r>
        <w:tab/>
        <w:t>“heden</w:t>
      </w:r>
      <w:r w:rsidR="00326938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1336.01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D62A9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D62A93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D62A9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D62A93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D62A93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62A93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D62A93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D62A93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