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171, </w:t>
      </w:r>
      <w:r>
        <w:t xml:space="preserve">01 July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962-66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01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14B4A" w:rsidRDefault="00E14B4A" w:rsidP="00E14B4A">
      <w:pPr>
        <w:pStyle w:val="FirstParagraph"/>
      </w:pPr>
      <w:r>
        <w:t>171.  July 1, 1711.</w:t>
      </w:r>
      <w:r>
        <w:rPr>
          <w:rStyle w:val="FootnoteReference"/>
        </w:rPr>
        <w:footnoteReference w:id="15"/>
      </w:r>
    </w:p>
    <w:p w:rsidR="00E14B4A" w:rsidRDefault="00E14B4A" w:rsidP="00E14B4A">
      <w:pPr>
        <w:pStyle w:val="OriginalText"/>
        <w:rPr>
          <w:sz w:val="18"/>
          <w:szCs w:val="18"/>
        </w:rPr>
      </w:pP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1]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Bern</w:t>
      </w:r>
      <w:r>
        <w:rPr>
          <w:rStyle w:val="FootnoteReference"/>
          <w:sz w:val="18"/>
          <w:szCs w:val="18"/>
        </w:rPr>
        <w:footnoteReference w:id="16"/>
      </w:r>
      <w:r>
        <w:rPr>
          <w:sz w:val="18"/>
          <w:szCs w:val="18"/>
        </w:rPr>
        <w:t xml:space="preserve"> den 1ten </w:t>
      </w:r>
      <w:r>
        <w:rPr>
          <w:rStyle w:val="Italics"/>
          <w:sz w:val="18"/>
          <w:szCs w:val="18"/>
        </w:rPr>
        <w:t>Julii</w:t>
      </w:r>
      <w:r>
        <w:rPr>
          <w:sz w:val="18"/>
          <w:szCs w:val="18"/>
        </w:rPr>
        <w:t xml:space="preserve"> 1711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Ludwig:letters to Amsterdam Committee (chronologically)"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Wohl Edle, etc.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Meine insonders Hochgeehrte Herren!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 letztere unterm 13ten 17 und 24 </w:t>
      </w:r>
      <w:r>
        <w:rPr>
          <w:rStyle w:val="Italics"/>
          <w:sz w:val="18"/>
          <w:szCs w:val="18"/>
        </w:rPr>
        <w:t>passato</w:t>
      </w:r>
      <w:r>
        <w:rPr>
          <w:sz w:val="18"/>
          <w:szCs w:val="18"/>
        </w:rPr>
        <w:t xml:space="preserve"> werden verhoffentlich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wohl eingekommen seÿn, wohin ich mich dann </w:t>
      </w:r>
      <w:r>
        <w:rPr>
          <w:rStyle w:val="Italics"/>
          <w:sz w:val="18"/>
          <w:szCs w:val="18"/>
        </w:rPr>
        <w:t>referire</w:t>
      </w:r>
      <w:r>
        <w:rPr>
          <w:sz w:val="18"/>
          <w:szCs w:val="18"/>
        </w:rPr>
        <w:t xml:space="preserve">.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Dieses dienet allein umb M[einen] h[och] g[eehrten] herren zu berichten, wie daß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königl[iche] Frantzösiche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"passports for exiles:1711 trip"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Passport</w:t>
      </w:r>
      <w:r>
        <w:rPr>
          <w:sz w:val="18"/>
          <w:szCs w:val="18"/>
        </w:rPr>
        <w:t xml:space="preserve"> für den </w:t>
      </w:r>
      <w:r>
        <w:rPr>
          <w:rStyle w:val="Italics"/>
          <w:sz w:val="18"/>
          <w:szCs w:val="18"/>
        </w:rPr>
        <w:t>transport</w:t>
      </w:r>
      <w:r>
        <w:rPr>
          <w:sz w:val="18"/>
          <w:szCs w:val="18"/>
        </w:rPr>
        <w:t xml:space="preserve"> der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hierländischen armen Mennoniten vorgestern </w:t>
      </w:r>
      <w:r>
        <w:rPr>
          <w:rStyle w:val="Italics"/>
          <w:sz w:val="18"/>
          <w:szCs w:val="18"/>
        </w:rPr>
        <w:t>in optima forma</w:t>
      </w:r>
      <w:r>
        <w:rPr>
          <w:rStyle w:val="FootnoteReference"/>
          <w:sz w:val="18"/>
          <w:szCs w:val="18"/>
        </w:rPr>
        <w:footnoteReference w:id="17"/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eingelanget, und daß Wir demnach </w:t>
      </w:r>
      <w:r>
        <w:rPr>
          <w:rStyle w:val="Italics"/>
          <w:sz w:val="18"/>
          <w:szCs w:val="18"/>
        </w:rPr>
        <w:t>resolviret</w:t>
      </w:r>
      <w:r>
        <w:rPr>
          <w:sz w:val="18"/>
          <w:szCs w:val="18"/>
        </w:rPr>
        <w:t xml:space="preserve">, dieselbe den 13ten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dieses wann es Gott beliebet in seinem allerheiligsten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Namen und unter seinem allwaltenden Schutz und Schirm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ihre Reis antretten zu lassen.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Wir hätten zwaren wünschen mögen daß die noch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 xml:space="preserve">desiderirende Passporte </w:t>
      </w:r>
      <w:r>
        <w:rPr>
          <w:sz w:val="18"/>
          <w:szCs w:val="18"/>
        </w:rPr>
        <w:t xml:space="preserve">von Chur-Pfaltz, dem Ertz Stifft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"Cologne:Bishopric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Cöllen und denen Herren Landgraffen von Hessen auch wären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 der handt gewesen.  Aber derer ermanglung hatt nicht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hindern mögen, daß wir die Abreis dieser armen Leüthen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nicht so viel immer möglich </w:t>
      </w:r>
      <w:r>
        <w:rPr>
          <w:rStyle w:val="Italics"/>
          <w:sz w:val="18"/>
          <w:szCs w:val="18"/>
        </w:rPr>
        <w:t>pressiren</w:t>
      </w:r>
      <w:r>
        <w:rPr>
          <w:sz w:val="18"/>
          <w:szCs w:val="18"/>
        </w:rPr>
        <w:t>,</w:t>
      </w:r>
      <w:r>
        <w:rPr>
          <w:rStyle w:val="FootnoteReference"/>
          <w:sz w:val="18"/>
          <w:szCs w:val="18"/>
        </w:rPr>
        <w:footnoteReference w:id="18"/>
      </w:r>
      <w:r>
        <w:rPr>
          <w:sz w:val="18"/>
          <w:szCs w:val="18"/>
        </w:rPr>
        <w:t xml:space="preserve"> eines theils, weilen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nunmehro die bestimbte Freÿheits-zeit verflossen und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gehorsame auch ihrer Abreis selbsten sehr verlangen,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anderer seits, weilen, wann Wir die Abfahrt hätten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weiter hinaus setzen wollen, alle Schiffleüte, alß welche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2] auff künfftige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"Zurzach Fair"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zur zacher Mess wieder hier seÿn wollen und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müssen, Unß auß dem Verding getretten wären.  Wir wollen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dennoch hoffen, daß so wohl oberwehnte </w:t>
      </w:r>
      <w:r>
        <w:rPr>
          <w:rStyle w:val="Italics"/>
          <w:sz w:val="18"/>
          <w:szCs w:val="18"/>
        </w:rPr>
        <w:t>Passporte</w:t>
      </w:r>
      <w:r>
        <w:rPr>
          <w:sz w:val="18"/>
          <w:szCs w:val="18"/>
        </w:rPr>
        <w:t xml:space="preserve"> alß auch die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Wir noch von Insbruck, und von Ihrer Durchl[auch]t dem Herren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Hertzogen von Würtenberg erwarten, in dieser zeit einkommen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werden, oder daß Herr Ritter solche werde unterwegs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empfangen können.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"Emmental"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"Reistians (Mennonites):non-cooperation"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Emmethaler von der Leistischen Gemeindt bleiben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so weit auff ihren sieben augen bestehen, daß Sie ehenter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das Landt heimlich raumen und Sich hin und wieder in die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Nachbahrschafft verschlieffen und verkriechen, alß offentlich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aus dem Landt und nacher Holland gehen wollen.  Ob nun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derer sich noch einige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"Basel:Anabaptists depart from"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Basel anmeldten und zu Schiff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gehen wollen, stehet zu erwarten.  Die gefangen nehmung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"Bürki, Hans (Burky, Birky, Bergey):in prison"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Bürckÿs hatt diese armselige Menschen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gewaltig erschröcket, und ihnen mehr als alles zuschreiben,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zureden, zusenden und nachlauffen zu erkennen gegeben,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eine Lobl[lich]e Obrigkeit nicht mehr gesinnet sich länger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foppen zu lassen, sondern, wie es auch in der that ist,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entschlossen schärffer als noch jemahlen hinter ihnen her zu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seÿn, und nicht zu ruhen bis Sie dieselbe vollends außgedilgen.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In meinem letzteren hatte vermeldet, wie daß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abermahlen beschäfftiget einige difficultäten so sich eräugnen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demnach den Abzug der armen Täuffer umb so viel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schwerer machen wolten, zu </w:t>
      </w:r>
      <w:r>
        <w:rPr>
          <w:rStyle w:val="Italics"/>
          <w:sz w:val="18"/>
          <w:szCs w:val="18"/>
        </w:rPr>
        <w:t>applaniren</w:t>
      </w:r>
      <w:r>
        <w:rPr>
          <w:sz w:val="18"/>
          <w:szCs w:val="18"/>
        </w:rPr>
        <w:t>.</w:t>
      </w:r>
      <w:r>
        <w:rPr>
          <w:rStyle w:val="FootnoteReference"/>
          <w:sz w:val="18"/>
          <w:szCs w:val="18"/>
        </w:rPr>
        <w:footnoteReference w:id="19"/>
      </w:r>
      <w:r>
        <w:rPr>
          <w:sz w:val="18"/>
          <w:szCs w:val="18"/>
        </w:rPr>
        <w:t xml:space="preserve">  Diese difficultäten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waren, daß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"Anabaptist Commission (Täufer-Kammer):refuses remission of tax"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Cammer auß veranlasung einiger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interessirten</w:t>
      </w:r>
      <w:r>
        <w:rPr>
          <w:sz w:val="18"/>
          <w:szCs w:val="18"/>
        </w:rPr>
        <w:t xml:space="preserve"> Ambtleüthen die Sache dahin </w:t>
      </w:r>
      <w:r>
        <w:rPr>
          <w:rStyle w:val="Italics"/>
          <w:sz w:val="18"/>
          <w:szCs w:val="18"/>
        </w:rPr>
        <w:t>dirigiret</w:t>
      </w:r>
      <w:r>
        <w:rPr>
          <w:sz w:val="18"/>
          <w:szCs w:val="18"/>
        </w:rPr>
        <w:t xml:space="preserve">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der </w:t>
      </w:r>
      <w:r>
        <w:rPr>
          <w:rStyle w:val="Italics"/>
          <w:sz w:val="18"/>
          <w:szCs w:val="18"/>
        </w:rPr>
        <w:t>Souveraine</w:t>
      </w:r>
      <w:r>
        <w:rPr>
          <w:sz w:val="18"/>
          <w:szCs w:val="18"/>
        </w:rPr>
        <w:t xml:space="preserve"> Rath schon im </w:t>
      </w:r>
      <w:r>
        <w:rPr>
          <w:rStyle w:val="Italics"/>
          <w:sz w:val="18"/>
          <w:szCs w:val="18"/>
        </w:rPr>
        <w:t>Mayo</w:t>
      </w:r>
      <w:r>
        <w:rPr>
          <w:sz w:val="18"/>
          <w:szCs w:val="18"/>
        </w:rPr>
        <w:t xml:space="preserve"> hinterrucks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meiner und mir allerdings unwissent erkandt undt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3] geschlossen, daß der befreÿung des Abzuggelds sich weiters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auff niemandten, alß auff die würckliche Täuffer, und ihre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reformirte</w:t>
      </w:r>
      <w:r>
        <w:rPr>
          <w:sz w:val="18"/>
          <w:szCs w:val="18"/>
        </w:rPr>
        <w:t xml:space="preserve"> Ehegatten, Eltern und kindter, so </w:t>
      </w:r>
      <w:r>
        <w:rPr>
          <w:rStyle w:val="Italics"/>
          <w:sz w:val="18"/>
          <w:szCs w:val="18"/>
        </w:rPr>
        <w:t>de facto</w:t>
      </w:r>
      <w:r>
        <w:rPr>
          <w:sz w:val="18"/>
          <w:szCs w:val="18"/>
        </w:rPr>
        <w:t xml:space="preserve"> noch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unter ihrer Taufferischen Eltern Gewalt, verstehen, die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übrige alle aber das Abzuggeldt bezahlen solten, auch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darüber würcklich an die beambtete die Verhaltungs Befehle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abgesandt und darob zu halten befohlen.  Weilen nun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einige Beambtete diese </w:t>
      </w:r>
      <w:r>
        <w:rPr>
          <w:rStyle w:val="Italics"/>
          <w:sz w:val="18"/>
          <w:szCs w:val="18"/>
        </w:rPr>
        <w:t>limitation</w:t>
      </w:r>
      <w:r>
        <w:rPr>
          <w:sz w:val="18"/>
          <w:szCs w:val="18"/>
        </w:rPr>
        <w:t xml:space="preserve">, alß woran eigentlich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gar viel nicht wäre gelegen gewesen, weilen sehr wenig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emancipirte</w:t>
      </w:r>
      <w:r>
        <w:rPr>
          <w:sz w:val="18"/>
          <w:szCs w:val="18"/>
        </w:rPr>
        <w:t xml:space="preserve"> kindter mit ihren Eltern ziehen, ich auch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keine andere reformirte, derer sich eine grose mänge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angemeldet, annehmen wollen, auch auff die </w:t>
      </w:r>
      <w:r>
        <w:rPr>
          <w:rStyle w:val="Italics"/>
          <w:sz w:val="18"/>
          <w:szCs w:val="18"/>
        </w:rPr>
        <w:t>reformirte</w:t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Ehegatten, Eltern et </w:t>
      </w:r>
      <w:r>
        <w:rPr>
          <w:rStyle w:val="Italics"/>
          <w:sz w:val="18"/>
          <w:szCs w:val="18"/>
        </w:rPr>
        <w:t>sub paterna potestate</w:t>
      </w:r>
      <w:r>
        <w:rPr>
          <w:rStyle w:val="FootnoteReference"/>
          <w:sz w:val="18"/>
          <w:szCs w:val="18"/>
        </w:rPr>
        <w:footnoteReference w:id="20"/>
      </w:r>
      <w:r>
        <w:rPr>
          <w:sz w:val="18"/>
          <w:szCs w:val="18"/>
        </w:rPr>
        <w:t xml:space="preserve"> sich noch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befindente </w:t>
      </w:r>
      <w:r>
        <w:rPr>
          <w:rStyle w:val="Italics"/>
          <w:sz w:val="18"/>
          <w:szCs w:val="18"/>
        </w:rPr>
        <w:t>reformirte</w:t>
      </w:r>
      <w:r>
        <w:rPr>
          <w:sz w:val="18"/>
          <w:szCs w:val="18"/>
        </w:rPr>
        <w:t xml:space="preserve"> kindter </w:t>
      </w:r>
      <w:r>
        <w:rPr>
          <w:rStyle w:val="Italics"/>
          <w:sz w:val="18"/>
          <w:szCs w:val="18"/>
        </w:rPr>
        <w:t>extendiren</w:t>
      </w:r>
      <w:r>
        <w:rPr>
          <w:sz w:val="18"/>
          <w:szCs w:val="18"/>
        </w:rPr>
        <w:t xml:space="preserve"> wollen, theils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zu bezahlung des Abzug-gelds würcklich angestrenget,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solche darmit zum klagen beweget.  Alß habe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abermahlen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Ludwig:threatens to end negotiations, refuses changed agreement"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anfangen müssen zu streiten und zu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kämpffen, und weilen mann auff der im </w:t>
      </w:r>
      <w:r>
        <w:rPr>
          <w:rStyle w:val="Italics"/>
          <w:sz w:val="18"/>
          <w:szCs w:val="18"/>
        </w:rPr>
        <w:t>Majo sub et</w:t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obreptitie</w:t>
      </w:r>
      <w:r>
        <w:rPr>
          <w:rStyle w:val="FootnoteReference"/>
          <w:sz w:val="18"/>
          <w:szCs w:val="18"/>
        </w:rPr>
        <w:footnoteReference w:id="21"/>
      </w:r>
      <w:r>
        <w:rPr>
          <w:sz w:val="18"/>
          <w:szCs w:val="18"/>
        </w:rPr>
        <w:t xml:space="preserve"> erschlichenen </w:t>
      </w:r>
      <w:r>
        <w:rPr>
          <w:rStyle w:val="Italics"/>
          <w:sz w:val="18"/>
          <w:szCs w:val="18"/>
        </w:rPr>
        <w:t>Souverainen</w:t>
      </w:r>
      <w:r>
        <w:rPr>
          <w:sz w:val="18"/>
          <w:szCs w:val="18"/>
        </w:rPr>
        <w:t xml:space="preserve"> Raths-Erkandnus 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bestehen wolte, allenthalben zu </w:t>
      </w:r>
      <w:r>
        <w:rPr>
          <w:rStyle w:val="Italics"/>
          <w:sz w:val="18"/>
          <w:szCs w:val="18"/>
        </w:rPr>
        <w:t>protestiren</w:t>
      </w:r>
      <w:r>
        <w:rPr>
          <w:sz w:val="18"/>
          <w:szCs w:val="18"/>
        </w:rPr>
        <w:t xml:space="preserve"> und </w:t>
      </w:r>
      <w:r>
        <w:rPr>
          <w:rStyle w:val="Italics"/>
          <w:sz w:val="18"/>
          <w:szCs w:val="18"/>
        </w:rPr>
        <w:t>netto</w:t>
      </w:r>
      <w:r>
        <w:rPr>
          <w:rStyle w:val="FootnoteReference"/>
          <w:sz w:val="18"/>
          <w:szCs w:val="18"/>
        </w:rPr>
        <w:footnoteReference w:id="22"/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</w:t>
      </w:r>
      <w:r>
        <w:rPr>
          <w:rStyle w:val="Italics"/>
          <w:sz w:val="18"/>
          <w:szCs w:val="18"/>
        </w:rPr>
        <w:t>declariren</w:t>
      </w:r>
      <w:r>
        <w:rPr>
          <w:sz w:val="18"/>
          <w:szCs w:val="18"/>
        </w:rPr>
        <w:t xml:space="preserve">, daß wann mann solche nicht </w:t>
      </w:r>
      <w:r>
        <w:rPr>
          <w:rStyle w:val="Italics"/>
          <w:sz w:val="18"/>
          <w:szCs w:val="18"/>
        </w:rPr>
        <w:t>cassiren</w:t>
      </w:r>
      <w:r>
        <w:rPr>
          <w:sz w:val="18"/>
          <w:szCs w:val="18"/>
        </w:rPr>
        <w:t xml:space="preserve"> und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 der in </w:t>
      </w:r>
      <w:r>
        <w:rPr>
          <w:rStyle w:val="Italics"/>
          <w:sz w:val="18"/>
          <w:szCs w:val="18"/>
        </w:rPr>
        <w:t>recessu</w:t>
      </w:r>
      <w:r>
        <w:rPr>
          <w:rStyle w:val="FootnoteReference"/>
          <w:sz w:val="18"/>
          <w:szCs w:val="18"/>
        </w:rPr>
        <w:footnoteReference w:id="23"/>
      </w:r>
      <w:r>
        <w:rPr>
          <w:sz w:val="18"/>
          <w:szCs w:val="18"/>
        </w:rPr>
        <w:t xml:space="preserve"> und in der Freÿheits-</w:t>
      </w:r>
      <w:r>
        <w:rPr>
          <w:rStyle w:val="Italics"/>
          <w:sz w:val="18"/>
          <w:szCs w:val="18"/>
        </w:rPr>
        <w:t>Patente</w:t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enthaltenen Erkandnus </w:t>
      </w:r>
      <w:r>
        <w:rPr>
          <w:rStyle w:val="Italics"/>
          <w:sz w:val="18"/>
          <w:szCs w:val="18"/>
        </w:rPr>
        <w:t>quoad sensum et literam</w:t>
      </w:r>
      <w:r>
        <w:rPr>
          <w:rStyle w:val="FootnoteReference"/>
          <w:sz w:val="18"/>
          <w:szCs w:val="18"/>
        </w:rPr>
        <w:footnoteReference w:id="24"/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verbleiben wolte, ich ehender alles </w:t>
      </w:r>
      <w:r>
        <w:rPr>
          <w:rStyle w:val="Italics"/>
          <w:sz w:val="18"/>
          <w:szCs w:val="18"/>
        </w:rPr>
        <w:t>abrumpiren</w:t>
      </w:r>
      <w:r>
        <w:rPr>
          <w:sz w:val="18"/>
          <w:szCs w:val="18"/>
        </w:rPr>
        <w:t xml:space="preserve"> undt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alle Täuffer hier lassen, alß in diese transgression des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einmahlen geaccordirten </w:t>
      </w:r>
      <w:r>
        <w:rPr>
          <w:rStyle w:val="Italics"/>
          <w:sz w:val="18"/>
          <w:szCs w:val="18"/>
        </w:rPr>
        <w:t>consentiren</w:t>
      </w:r>
      <w:r>
        <w:rPr>
          <w:sz w:val="18"/>
          <w:szCs w:val="18"/>
        </w:rPr>
        <w:t xml:space="preserve"> würde, welches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dann durch sie gnade Gottes so viel gefruchtet, daß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mann heüt vor 8 tagen nemblich den 24 </w:t>
      </w:r>
      <w:r>
        <w:rPr>
          <w:rStyle w:val="Italics"/>
          <w:sz w:val="18"/>
          <w:szCs w:val="18"/>
        </w:rPr>
        <w:t>passato</w:t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coram Ducentis</w:t>
      </w:r>
      <w:r>
        <w:rPr>
          <w:rStyle w:val="FootnoteReference"/>
          <w:sz w:val="18"/>
          <w:szCs w:val="18"/>
        </w:rPr>
        <w:footnoteReference w:id="25"/>
      </w:r>
      <w:r>
        <w:rPr>
          <w:sz w:val="18"/>
          <w:szCs w:val="18"/>
        </w:rPr>
        <w:t xml:space="preserve"> die letztere Erkandnus wiederumb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4] revociret die erstere aber bestättiget hatt.  Dieses wird,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wie ich hoffe der letzte Streitt gewesen seÿn so dieser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Leüthen wegen zu </w:t>
      </w:r>
      <w:r>
        <w:rPr>
          <w:rStyle w:val="Italics"/>
          <w:sz w:val="18"/>
          <w:szCs w:val="18"/>
        </w:rPr>
        <w:t>souteniren</w:t>
      </w:r>
      <w:r>
        <w:rPr>
          <w:sz w:val="18"/>
          <w:szCs w:val="18"/>
        </w:rPr>
        <w:t>.</w:t>
      </w:r>
      <w:r>
        <w:rPr>
          <w:rStyle w:val="FootnoteReference"/>
          <w:sz w:val="18"/>
          <w:szCs w:val="18"/>
        </w:rPr>
        <w:footnoteReference w:id="26"/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Seit meinem letzteren hatt mir die Cammer noch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ferners einige tausent thaler Täuffer-mittel folgen lassen.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Womit stetshin obwohlen in höchster Eil verharre.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Meiner hochgeehrten herren Ergebenster Diener</w:t>
      </w:r>
    </w:p>
    <w:p w:rsidR="0084002E" w:rsidRDefault="00E14B4A" w:rsidP="00E14B4A">
      <w:pPr>
        <w:pStyle w:val="OriginalText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Ludwig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14B4A" w:rsidRDefault="00E14B4A" w:rsidP="00E14B4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171</w:t>
      </w:r>
      <w:r>
        <w:tab/>
      </w:r>
      <w:r>
        <w:rPr>
          <w:rStyle w:val="FootnoteReference"/>
        </w:rPr>
        <w:tab/>
      </w:r>
      <w:r>
        <w:t xml:space="preserve">This is A 1338 from the De Hoop Scheffer </w:t>
      </w:r>
      <w:r>
        <w:rPr>
          <w:rStyle w:val="Italics"/>
        </w:rPr>
        <w:t>Inventaris</w:t>
      </w:r>
      <w:r>
        <w:t xml:space="preserve">.  </w:t>
      </w:r>
    </w:p>
    <w:p w:rsidR="00E14B4A" w:rsidRDefault="00E14B4A" w:rsidP="00E14B4A">
      <w:pPr>
        <w:pStyle w:val="FootnoteText"/>
      </w:pPr>
    </w:p>
  </w:footnote>
  <w:footnote w:id="4">
    <w:p w:rsidR="00E14B4A" w:rsidRDefault="00E14B4A" w:rsidP="00E14B4A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E14B4A" w:rsidRDefault="00E14B4A" w:rsidP="00E14B4A">
      <w:pPr>
        <w:pStyle w:val="Footnote-OneDigit"/>
      </w:pPr>
    </w:p>
  </w:footnote>
  <w:footnote w:id="5">
    <w:p w:rsidR="00E14B4A" w:rsidRDefault="00E14B4A" w:rsidP="00E14B4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optima forma</w:t>
      </w:r>
      <w:r>
        <w:t>, “in best form” (Latin).</w:t>
      </w:r>
    </w:p>
    <w:p w:rsidR="00E14B4A" w:rsidRDefault="00E14B4A" w:rsidP="00E14B4A">
      <w:pPr>
        <w:pStyle w:val="Footnote-OneDigit"/>
      </w:pPr>
    </w:p>
  </w:footnote>
  <w:footnote w:id="6">
    <w:p w:rsidR="00E14B4A" w:rsidRDefault="00E14B4A" w:rsidP="00E14B4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pressiren</w:t>
      </w:r>
      <w:r>
        <w:t>, “to be in haste” (German).</w:t>
      </w:r>
    </w:p>
    <w:p w:rsidR="00E14B4A" w:rsidRDefault="00E14B4A" w:rsidP="00E14B4A">
      <w:pPr>
        <w:pStyle w:val="Footnote-OneDigit"/>
      </w:pPr>
    </w:p>
  </w:footnote>
  <w:footnote w:id="7">
    <w:p w:rsidR="00E14B4A" w:rsidRDefault="00E14B4A" w:rsidP="00E14B4A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applaniern</w:t>
      </w:r>
      <w:r>
        <w:t>, “adjust, settle, balance” (German).</w:t>
      </w:r>
    </w:p>
    <w:p w:rsidR="00E14B4A" w:rsidRDefault="00E14B4A" w:rsidP="00E14B4A">
      <w:pPr>
        <w:pStyle w:val="FirstFootnoteinColumnLine"/>
      </w:pPr>
    </w:p>
  </w:footnote>
  <w:footnote w:id="8">
    <w:p w:rsidR="00E14B4A" w:rsidRDefault="00E14B4A" w:rsidP="00E14B4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sub paterna potestate</w:t>
      </w:r>
      <w:r>
        <w:t>, “under paternal authority” (Latin).</w:t>
      </w:r>
    </w:p>
    <w:p w:rsidR="00E14B4A" w:rsidRDefault="00E14B4A" w:rsidP="00E14B4A">
      <w:pPr>
        <w:pStyle w:val="Footnote-OneDigit"/>
      </w:pPr>
    </w:p>
  </w:footnote>
  <w:footnote w:id="9">
    <w:p w:rsidR="00E14B4A" w:rsidRDefault="00E14B4A" w:rsidP="00E14B4A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sub[reptitie] et obreptitie</w:t>
      </w:r>
      <w:r>
        <w:t xml:space="preserve">, “a secret stealing and creeping upon” (Latin and German). These unusual words seem to be derived from the Latin </w:t>
      </w:r>
      <w:r>
        <w:rPr>
          <w:rStyle w:val="Italics"/>
        </w:rPr>
        <w:t>subrepere</w:t>
      </w:r>
      <w:r>
        <w:t xml:space="preserve"> and </w:t>
      </w:r>
      <w:r>
        <w:rPr>
          <w:rStyle w:val="Italics"/>
        </w:rPr>
        <w:t>obrepere</w:t>
      </w:r>
      <w:r>
        <w:t xml:space="preserve"> and are cognate with the English “surreption” and “obreption.”</w:t>
      </w:r>
    </w:p>
    <w:p w:rsidR="00E14B4A" w:rsidRDefault="00E14B4A" w:rsidP="00E14B4A">
      <w:pPr>
        <w:pStyle w:val="FirstFootnoteinColumnLine"/>
      </w:pPr>
    </w:p>
  </w:footnote>
  <w:footnote w:id="10">
    <w:p w:rsidR="00E14B4A" w:rsidRDefault="00E14B4A" w:rsidP="00E14B4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netto = “rein</w:t>
      </w:r>
      <w:r>
        <w:t>,” perhaps in the sense of  “clear.”</w:t>
      </w:r>
    </w:p>
    <w:p w:rsidR="00E14B4A" w:rsidRDefault="00E14B4A" w:rsidP="00E14B4A">
      <w:pPr>
        <w:pStyle w:val="Footnote-OneDigit"/>
      </w:pPr>
    </w:p>
  </w:footnote>
  <w:footnote w:id="11">
    <w:p w:rsidR="00E14B4A" w:rsidRDefault="00E14B4A" w:rsidP="00E14B4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recessu</w:t>
      </w:r>
      <w:r>
        <w:t>, “in the declaration” (Latin).</w:t>
      </w:r>
    </w:p>
    <w:p w:rsidR="00E14B4A" w:rsidRDefault="00E14B4A" w:rsidP="00E14B4A">
      <w:pPr>
        <w:pStyle w:val="Footnote-OneDigit"/>
      </w:pPr>
    </w:p>
  </w:footnote>
  <w:footnote w:id="12">
    <w:p w:rsidR="00E14B4A" w:rsidRDefault="00E14B4A" w:rsidP="00E14B4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quoad sensum et literam</w:t>
      </w:r>
      <w:r>
        <w:t xml:space="preserve"> , “with respect to meaning and letter,” (Latin).</w:t>
      </w:r>
    </w:p>
    <w:p w:rsidR="00E14B4A" w:rsidRDefault="00E14B4A" w:rsidP="00E14B4A">
      <w:pPr>
        <w:pStyle w:val="Footnote-TwoDigit"/>
      </w:pPr>
    </w:p>
  </w:footnote>
  <w:footnote w:id="13">
    <w:p w:rsidR="00E14B4A" w:rsidRDefault="00E14B4A" w:rsidP="00E14B4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coram Ducentis</w:t>
      </w:r>
      <w:r>
        <w:t>, “in the presence of the two hundred” (Latin).</w:t>
      </w:r>
    </w:p>
    <w:p w:rsidR="00E14B4A" w:rsidRDefault="00E14B4A" w:rsidP="00E14B4A">
      <w:pPr>
        <w:pStyle w:val="Footnote-TwoDigit"/>
      </w:pPr>
    </w:p>
  </w:footnote>
  <w:footnote w:id="14">
    <w:p w:rsidR="00E14B4A" w:rsidRDefault="00E14B4A" w:rsidP="00E14B4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souteniren</w:t>
      </w:r>
      <w:r>
        <w:t>, “support” (German).</w:t>
      </w:r>
    </w:p>
    <w:p w:rsidR="00E14B4A" w:rsidRDefault="00E14B4A" w:rsidP="00E14B4A">
      <w:pPr>
        <w:pStyle w:val="Footnote-TwoDigit"/>
      </w:pPr>
    </w:p>
  </w:footnote>
  <w:footnote w:id="15">
    <w:p w:rsidR="00E14B4A" w:rsidRDefault="00E14B4A" w:rsidP="002B6E5D">
      <w:pPr>
        <w:pStyle w:val="Footnote-TwoDigit"/>
      </w:pPr>
      <w:r>
        <w:rPr>
          <w:vertAlign w:val="superscript"/>
        </w:rPr>
        <w:footnoteRef/>
      </w:r>
      <w:r w:rsidR="002B6E5D">
        <w:rPr>
          <w:rStyle w:val="ChapterNumberforFootnote"/>
        </w:rPr>
        <w:t xml:space="preserve"> </w:t>
      </w:r>
      <w:r>
        <w:t xml:space="preserve">This is A 1338 from the De Hoop Scheffer </w:t>
      </w:r>
      <w:r>
        <w:rPr>
          <w:rStyle w:val="Italics"/>
        </w:rPr>
        <w:t>Inventaris</w:t>
      </w:r>
      <w:r w:rsidR="002B6E5D">
        <w:t>.</w:t>
      </w:r>
    </w:p>
  </w:footnote>
  <w:footnote w:id="16">
    <w:p w:rsidR="00E14B4A" w:rsidRDefault="00E14B4A" w:rsidP="002B6E5D">
      <w:pPr>
        <w:pStyle w:val="Footnote-Two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2B6E5D">
        <w:t>.</w:t>
      </w:r>
    </w:p>
  </w:footnote>
  <w:footnote w:id="17">
    <w:p w:rsidR="00E14B4A" w:rsidRDefault="00E14B4A" w:rsidP="002B6E5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optima forma</w:t>
      </w:r>
      <w:r>
        <w:t>, “in best form” (Latin)</w:t>
      </w:r>
      <w:r w:rsidR="002B6E5D">
        <w:t>.</w:t>
      </w:r>
    </w:p>
  </w:footnote>
  <w:footnote w:id="18">
    <w:p w:rsidR="00E14B4A" w:rsidRDefault="00E14B4A" w:rsidP="002B6E5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pressiren</w:t>
      </w:r>
      <w:r>
        <w:t>, “to be in haste” (German)</w:t>
      </w:r>
      <w:r w:rsidR="002B6E5D">
        <w:t>.</w:t>
      </w:r>
    </w:p>
  </w:footnote>
  <w:footnote w:id="19">
    <w:p w:rsidR="00E14B4A" w:rsidRDefault="00E14B4A" w:rsidP="002B6E5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applaniern</w:t>
      </w:r>
      <w:r>
        <w:t>, “adjust, settle, balance” (German)</w:t>
      </w:r>
      <w:r w:rsidR="002B6E5D">
        <w:t>.</w:t>
      </w:r>
    </w:p>
  </w:footnote>
  <w:footnote w:id="20">
    <w:p w:rsidR="00E14B4A" w:rsidRDefault="00E14B4A" w:rsidP="002B6E5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sub paterna potestate</w:t>
      </w:r>
      <w:r>
        <w:t>, “under paternal authority” (Latin)</w:t>
      </w:r>
      <w:r w:rsidR="002B6E5D">
        <w:t>.</w:t>
      </w:r>
    </w:p>
  </w:footnote>
  <w:footnote w:id="21">
    <w:p w:rsidR="00E14B4A" w:rsidRDefault="00E14B4A" w:rsidP="002B6E5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sub[reptitie] et obreptitie</w:t>
      </w:r>
      <w:r>
        <w:t xml:space="preserve">, “a secret stealing and creeping upon” (Latin and German). These unusual words seem to be derived from the Latin </w:t>
      </w:r>
      <w:r>
        <w:rPr>
          <w:rStyle w:val="Italics"/>
        </w:rPr>
        <w:t>subrepere</w:t>
      </w:r>
      <w:r>
        <w:t xml:space="preserve"> and </w:t>
      </w:r>
      <w:r>
        <w:rPr>
          <w:rStyle w:val="Italics"/>
        </w:rPr>
        <w:t>obrepere</w:t>
      </w:r>
      <w:r>
        <w:t xml:space="preserve"> and are cognate with the English “surreption” and “obreption</w:t>
      </w:r>
      <w:r w:rsidR="002B6E5D">
        <w:t>.</w:t>
      </w:r>
    </w:p>
  </w:footnote>
  <w:footnote w:id="22">
    <w:p w:rsidR="00E14B4A" w:rsidRDefault="00E14B4A" w:rsidP="002B6E5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netto = “rein</w:t>
      </w:r>
      <w:r>
        <w:t>,” perhaps in the sense of  “clear</w:t>
      </w:r>
      <w:r w:rsidR="002B6E5D">
        <w:t>.</w:t>
      </w:r>
    </w:p>
  </w:footnote>
  <w:footnote w:id="23">
    <w:p w:rsidR="00E14B4A" w:rsidRDefault="00E14B4A" w:rsidP="002B6E5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recessu</w:t>
      </w:r>
      <w:r>
        <w:t>, “in the declaration” (Latin)</w:t>
      </w:r>
      <w:r w:rsidR="002B6E5D">
        <w:t>.</w:t>
      </w:r>
    </w:p>
  </w:footnote>
  <w:footnote w:id="24">
    <w:p w:rsidR="00E14B4A" w:rsidRDefault="00E14B4A" w:rsidP="002B6E5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quoad sensum et literam</w:t>
      </w:r>
      <w:r>
        <w:t xml:space="preserve"> , “with respect to meaning and letter,” (Latin)</w:t>
      </w:r>
      <w:r w:rsidR="002B6E5D">
        <w:t>.</w:t>
      </w:r>
    </w:p>
  </w:footnote>
  <w:footnote w:id="25">
    <w:p w:rsidR="00E14B4A" w:rsidRDefault="00E14B4A" w:rsidP="002B6E5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coram Ducentis</w:t>
      </w:r>
      <w:r>
        <w:t>, “in the presence of the two hundred” (Latin)</w:t>
      </w:r>
      <w:r w:rsidR="002B6E5D">
        <w:t>.</w:t>
      </w:r>
    </w:p>
  </w:footnote>
  <w:footnote w:id="26">
    <w:p w:rsidR="00E14B4A" w:rsidRDefault="00E14B4A" w:rsidP="002B6E5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souteniren</w:t>
      </w:r>
      <w:r>
        <w:t>, “support” (German)</w:t>
      </w:r>
      <w:r w:rsidR="002B6E5D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1338.01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14B4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14B4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14B4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E14B4A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E14B4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4B4A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14B4A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E14B4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14B4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E14B4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