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176, </w:t>
      </w:r>
      <w:r>
        <w:t xml:space="preserve">15 July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1018-20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Basel,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83E16" w:rsidRDefault="00283E16" w:rsidP="00283E16">
      <w:pPr>
        <w:pStyle w:val="FirstParagraph"/>
      </w:pPr>
      <w:r>
        <w:t>176.  July 15, 1711.</w:t>
      </w:r>
      <w:r>
        <w:rPr>
          <w:rStyle w:val="FootnoteReference"/>
        </w:rPr>
        <w:footnoteReference w:id="6"/>
      </w:r>
    </w:p>
    <w:p w:rsidR="00283E16" w:rsidRDefault="00283E16" w:rsidP="00283E16">
      <w:pPr>
        <w:pStyle w:val="OriginalText"/>
        <w:rPr>
          <w:sz w:val="21"/>
          <w:szCs w:val="21"/>
        </w:rPr>
      </w:pP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Basel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den 15 Julii 1711.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Wohl Edle, etc.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283E16" w:rsidRDefault="00283E16" w:rsidP="00283E16">
      <w:pPr>
        <w:pStyle w:val="OriginalText"/>
        <w:rPr>
          <w:sz w:val="21"/>
          <w:szCs w:val="21"/>
        </w:rPr>
      </w:pP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Mit diesem wenigen habe in eil berichten sollen, wie daß die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Bernerische Mennoniten vorgestern Morgents unter dem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geleith Gottes des Allerhöchsten von Bern und Newenburg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1711:actual departure"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verreiset, und daß sich alle die fünff schiffe denselben Abendt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"Wangen"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Wangen versamblet, und darauff gestern morgen dero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Reis mit einandter auff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"Laufenburg"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Lauffenburg fortgesetzet, alwo sie 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heute die Schiff entladten und sonsten das nöthige verrichten,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darauff geliebt es Gott morgen abends allhier anlangen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werden.  Ich komme in diesem </w:t>
      </w:r>
      <w:r>
        <w:rPr>
          <w:rStyle w:val="Italics"/>
          <w:sz w:val="21"/>
          <w:szCs w:val="21"/>
        </w:rPr>
        <w:t>moment</w:t>
      </w:r>
      <w:r>
        <w:rPr>
          <w:sz w:val="21"/>
          <w:szCs w:val="21"/>
        </w:rPr>
        <w:t xml:space="preserve"> allhier an, weilen über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Landt gegangen, und werde alles nöthige soviel möglich versorgen,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damit diese gute Leuthe desto weniger allhier auffgehalten werden.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werde erst allhier die haubt </w:t>
      </w:r>
      <w:r>
        <w:rPr>
          <w:rStyle w:val="Italics"/>
          <w:sz w:val="21"/>
          <w:szCs w:val="21"/>
        </w:rPr>
        <w:t>Liste</w:t>
      </w:r>
      <w:r>
        <w:rPr>
          <w:sz w:val="21"/>
          <w:szCs w:val="21"/>
        </w:rPr>
        <w:t xml:space="preserve"> der Abreisenden verfertigen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können, weilen sonsten noch niemahlen darzu gelangen können.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Hierbeÿ folget </w:t>
      </w:r>
      <w:r>
        <w:rPr>
          <w:rStyle w:val="Italics"/>
          <w:sz w:val="21"/>
          <w:szCs w:val="21"/>
        </w:rPr>
        <w:t>primâ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"letter of exchange"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Wechßelbrieff von H[errn]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"Malacrida and Co., Messrs,"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Malacrida</w:t>
      </w:r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et Compagnie</w:t>
      </w:r>
      <w:r>
        <w:rPr>
          <w:sz w:val="21"/>
          <w:szCs w:val="21"/>
        </w:rPr>
        <w:t xml:space="preserve"> für die </w:t>
      </w:r>
      <w:r>
        <w:rPr>
          <w:rStyle w:val="Italics"/>
          <w:sz w:val="21"/>
          <w:szCs w:val="21"/>
        </w:rPr>
        <w:t>Summ</w:t>
      </w:r>
      <w:r>
        <w:rPr>
          <w:sz w:val="21"/>
          <w:szCs w:val="21"/>
        </w:rPr>
        <w:t xml:space="preserve">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 of Swiss Anabaptists:deposited with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11400 thalern so ihnen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eingeliefferet.  Diese herren seindt von ihrer vormahls gegebenen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parole die brieffe auff ein paar tage sicht zu stellen, unter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allerhandt </w:t>
      </w:r>
      <w:r>
        <w:rPr>
          <w:rStyle w:val="Italics"/>
          <w:sz w:val="21"/>
          <w:szCs w:val="21"/>
        </w:rPr>
        <w:t>pr</w:t>
      </w:r>
      <w:r>
        <w:rPr>
          <w:rStyle w:val="Italics"/>
          <w:i w:val="0"/>
          <w:iCs w:val="0"/>
          <w:sz w:val="21"/>
          <w:szCs w:val="21"/>
        </w:rPr>
        <w:t>æ</w:t>
      </w:r>
      <w:r>
        <w:rPr>
          <w:rStyle w:val="Italics"/>
          <w:sz w:val="21"/>
          <w:szCs w:val="21"/>
        </w:rPr>
        <w:t>texten</w:t>
      </w:r>
      <w:r>
        <w:rPr>
          <w:sz w:val="21"/>
          <w:szCs w:val="21"/>
        </w:rPr>
        <w:t xml:space="preserve"> wiederum abgewichen, so daß es da auch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heißt, </w:t>
      </w:r>
      <w:r>
        <w:rPr>
          <w:rStyle w:val="Italics"/>
          <w:sz w:val="21"/>
          <w:szCs w:val="21"/>
        </w:rPr>
        <w:t>regis ad exemplum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etc.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Meine hochgeehrte herren in der allwaltenden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Gnadenschutz Gottes mich aber und die meinigen in dero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andächtiges gebett schönstens empfehle und verbleibe.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Default="00283E16" w:rsidP="00283E16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83E16" w:rsidRDefault="00283E16" w:rsidP="00283E1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176</w:t>
      </w:r>
      <w:r>
        <w:tab/>
      </w:r>
      <w:r>
        <w:rPr>
          <w:rStyle w:val="FootnoteReference"/>
        </w:rPr>
        <w:tab/>
      </w:r>
      <w:r>
        <w:t xml:space="preserve">This is A 1340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283E16" w:rsidRDefault="00283E16" w:rsidP="00283E16">
      <w:pPr>
        <w:pStyle w:val="FootnoteText"/>
      </w:pPr>
    </w:p>
  </w:footnote>
  <w:footnote w:id="4">
    <w:p w:rsidR="00283E16" w:rsidRDefault="00283E16" w:rsidP="00283E16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283E16" w:rsidRDefault="00283E16" w:rsidP="00283E16">
      <w:pPr>
        <w:pStyle w:val="Footnote-OneDigit"/>
      </w:pPr>
    </w:p>
  </w:footnote>
  <w:footnote w:id="5">
    <w:p w:rsidR="00283E16" w:rsidRDefault="00283E16" w:rsidP="00283E16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Regis ad exemplum</w:t>
      </w:r>
      <w:r>
        <w:t xml:space="preserve">, “according to the precedent of the king” (Latin).  </w:t>
      </w:r>
    </w:p>
    <w:p w:rsidR="00283E16" w:rsidRDefault="00283E16" w:rsidP="00283E16">
      <w:pPr>
        <w:pStyle w:val="FirstFootnoteinColumnLine"/>
      </w:pPr>
    </w:p>
  </w:footnote>
  <w:footnote w:id="6">
    <w:p w:rsidR="00283E16" w:rsidRDefault="00283E16" w:rsidP="00CF2A36">
      <w:pPr>
        <w:pStyle w:val="Footnote-OneDigit"/>
      </w:pPr>
      <w:r>
        <w:rPr>
          <w:vertAlign w:val="superscript"/>
        </w:rPr>
        <w:footnoteRef/>
      </w:r>
      <w:r w:rsidR="00CF2A36">
        <w:rPr>
          <w:rStyle w:val="ChapterNumberforFootnote"/>
        </w:rPr>
        <w:t xml:space="preserve"> </w:t>
      </w:r>
      <w:r>
        <w:t xml:space="preserve">This is A 1340 from the De Hoop Scheffer </w:t>
      </w:r>
      <w:r>
        <w:rPr>
          <w:rStyle w:val="Italics"/>
        </w:rPr>
        <w:t>Inventaris</w:t>
      </w:r>
      <w:r w:rsidR="00CF2A36">
        <w:t>.</w:t>
      </w:r>
    </w:p>
  </w:footnote>
  <w:footnote w:id="7">
    <w:p w:rsidR="00283E16" w:rsidRDefault="00283E16" w:rsidP="00CF2A36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CF2A36">
        <w:t>.</w:t>
      </w:r>
    </w:p>
  </w:footnote>
  <w:footnote w:id="8">
    <w:p w:rsidR="00283E16" w:rsidRDefault="00283E16" w:rsidP="00CF2A3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Regis ad exemplum</w:t>
      </w:r>
      <w:r>
        <w:t>, “according to the precedent of the king” (Latin)</w:t>
      </w:r>
      <w:r w:rsidR="00CF2A3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83E1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83E16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83E1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83E16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83E1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3E1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83E16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283E1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83E16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