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180, </w:t>
      </w:r>
      <w:r>
        <w:t xml:space="preserve">23 July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1044-50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23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B83993" w:rsidRDefault="00B83993" w:rsidP="00B83993">
      <w:pPr>
        <w:pStyle w:val="FirstParagraph"/>
      </w:pPr>
      <w:r>
        <w:t>180.  July 23, 1711.</w:t>
      </w:r>
      <w:r>
        <w:rPr>
          <w:rStyle w:val="FootnoteReference"/>
        </w:rPr>
        <w:footnoteReference w:id="25"/>
      </w:r>
    </w:p>
    <w:p w:rsidR="00B83993" w:rsidRDefault="00B83993" w:rsidP="00B83993">
      <w:pPr>
        <w:pStyle w:val="OriginalText"/>
        <w:rPr>
          <w:sz w:val="20"/>
          <w:szCs w:val="20"/>
        </w:rPr>
      </w:pP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Ludwig:residence at Schaffhausen"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Schaffhausen</w:t>
      </w:r>
      <w:r>
        <w:rPr>
          <w:rStyle w:val="FootnoteReference"/>
          <w:sz w:val="20"/>
          <w:szCs w:val="20"/>
        </w:rPr>
        <w:footnoteReference w:id="26"/>
      </w:r>
      <w:r>
        <w:rPr>
          <w:sz w:val="20"/>
          <w:szCs w:val="20"/>
        </w:rPr>
        <w:t xml:space="preserve"> den 23 </w:t>
      </w:r>
      <w:r>
        <w:rPr>
          <w:rStyle w:val="Italics"/>
          <w:sz w:val="20"/>
          <w:szCs w:val="20"/>
        </w:rPr>
        <w:t>Julii</w:t>
      </w:r>
      <w:r>
        <w:rPr>
          <w:sz w:val="20"/>
          <w:szCs w:val="20"/>
        </w:rPr>
        <w:t xml:space="preserve"> 1711.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Ludwig:letters to Amsterdam Committee (chronologically)"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Wohl Edle, etc.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Meine insonders Hochgeehrte Herren!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Meine von Basel aus an dieselbe unterm 15 und 18ten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currentis</w:t>
      </w:r>
      <w:r>
        <w:rPr>
          <w:sz w:val="20"/>
          <w:szCs w:val="20"/>
        </w:rPr>
        <w:t xml:space="preserve"> abgegebene Schreiben werden Meine hochgeehrte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herren zweiffels ohn nebst dem dem [sic] ersten beÿgefügten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prima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"letter of exchange"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Wechßelbrieff à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"funds of Swiss Anabaptists:deposited with Runckel"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11400 R[eichs]th[ale]r von Herren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"Malacrida and Co., Messrs,"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Malacrida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et Compagnie</w:t>
      </w:r>
      <w:r>
        <w:rPr>
          <w:sz w:val="20"/>
          <w:szCs w:val="20"/>
        </w:rPr>
        <w:t xml:space="preserve"> wohlerhalten, und daraus was in dem eint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anderen passiret des mehreren ersehen haben.  Nach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abgang meines letzteren habe allererst die reveue [sic] über die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aus dem Landt gegangene Täuffer von Schiff zu Schiff gehalten,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darbeÿ gefundten, daß über den vormahls gemeldeten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"Schilt, Heinrich"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Heinrich Schilt annoch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"Brechtbühl, Ulrich"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Ulrich Brechtbuel,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"Blaser, Peter:ran away"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Peter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Blaser,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"Lüthi, Peter"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Peter Lutÿ und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"Eymann, Anni"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Anna Eÿmann, so alle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gefangen gewesen und aus dem Emmethal seind, von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"Basel:list of Anabaptists on boats at"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Basel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als andere leichtfertige und weder treuw noch glauben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haltende Vögel entlauffen, und so viel ich äußerlich vernehmen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können, ihren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Bern:return to"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zuruckweg nach dem Berner Gebieth, oder auffs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wenigste gegen die Nachbahrschafft genommen, ohnerachtet ihnen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2]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allen Emmethalern zu gefallen den schon so offt gemeldten herren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"Wagner, Bernhard:prefered by Reistians"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Bernhardt Wagner umb dieses besorgende Unheil zu vermeÿden,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mit grosen kosten mit ihnen </w:t>
      </w:r>
      <w:r>
        <w:rPr>
          <w:rStyle w:val="Italics"/>
          <w:sz w:val="20"/>
          <w:szCs w:val="20"/>
        </w:rPr>
        <w:t>expressè</w:t>
      </w:r>
      <w:r>
        <w:rPr>
          <w:sz w:val="20"/>
          <w:szCs w:val="20"/>
        </w:rPr>
        <w:t xml:space="preserve"> auff Basel gehen laßen,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welchem Sie auch versprochen hatten treuw zu verbleiben.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Dieser übele anfang macht mich nicht wenig förchten, es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mögten sich von denen gefangen gewesenen, über diejenige welchen</w:t>
      </w:r>
    </w:p>
    <w:p w:rsidR="00B83993" w:rsidRDefault="00B83993" w:rsidP="00B83993">
      <w:pPr>
        <w:pStyle w:val="OriginalText"/>
        <w:rPr>
          <w:sz w:val="20"/>
          <w:szCs w:val="20"/>
        </w:rPr>
      </w:pP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mann zu Mannheim zu bleiben erlaubet, unter wegens noch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mehrere, und </w:t>
      </w:r>
      <w:r>
        <w:rPr>
          <w:rStyle w:val="Italics"/>
          <w:sz w:val="20"/>
          <w:szCs w:val="20"/>
        </w:rPr>
        <w:t>in Specie</w:t>
      </w:r>
      <w:r>
        <w:rPr>
          <w:sz w:val="20"/>
          <w:szCs w:val="20"/>
        </w:rPr>
        <w:t xml:space="preserve"> der Hanß Burckÿ und </w:t>
      </w:r>
      <w:r>
        <w:rPr>
          <w:rStyle w:val="Italics"/>
          <w:sz w:val="20"/>
          <w:szCs w:val="20"/>
        </w:rPr>
        <w:t>Samüel</w:t>
      </w:r>
      <w:r>
        <w:rPr>
          <w:sz w:val="20"/>
          <w:szCs w:val="20"/>
        </w:rPr>
        <w:t xml:space="preserve"> Räber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darvon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"expulsion in 1711:desertion from ship"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schleichen, alß habe umb so weniger mich säumen sollen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M[einen] h[och] g. herren eine </w:t>
      </w:r>
      <w:r>
        <w:rPr>
          <w:rStyle w:val="Italics"/>
          <w:sz w:val="20"/>
          <w:szCs w:val="20"/>
        </w:rPr>
        <w:t xml:space="preserve">pertinente </w:t>
      </w:r>
      <w:r>
        <w:rPr>
          <w:rStyle w:val="Italics"/>
          <w:sz w:val="20"/>
          <w:szCs w:val="20"/>
        </w:rPr>
        <w:fldChar w:fldCharType="begin"/>
      </w:r>
      <w:r>
        <w:rPr>
          <w:rStyle w:val="Italics"/>
          <w:sz w:val="20"/>
          <w:szCs w:val="20"/>
        </w:rPr>
        <w:instrText>xe "shipmen:quarreling"</w:instrText>
      </w:r>
      <w:r>
        <w:rPr>
          <w:rStyle w:val="Italics"/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fldChar w:fldCharType="begin"/>
      </w:r>
      <w:r>
        <w:rPr>
          <w:rStyle w:val="Italics"/>
          <w:sz w:val="20"/>
          <w:szCs w:val="20"/>
        </w:rPr>
        <w:instrText>xe "expulsion in 1711:list of those departing at Basel"</w:instrText>
      </w:r>
      <w:r>
        <w:rPr>
          <w:rStyle w:val="Italics"/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Liste</w:t>
      </w:r>
      <w:r>
        <w:rPr>
          <w:sz w:val="20"/>
          <w:szCs w:val="20"/>
        </w:rPr>
        <w:t xml:space="preserve"> aller der zu Basel abgereisten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Täufer, wie hiermit beschiehet,</w:t>
      </w:r>
      <w:r>
        <w:rPr>
          <w:rStyle w:val="FootnoteReference"/>
          <w:sz w:val="20"/>
          <w:szCs w:val="20"/>
        </w:rPr>
        <w:footnoteReference w:id="27"/>
      </w:r>
      <w:r>
        <w:rPr>
          <w:sz w:val="20"/>
          <w:szCs w:val="20"/>
        </w:rPr>
        <w:t xml:space="preserve"> zu übersendten, damit dieselbe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beÿ derer Ankunfft diejenige, so etwann manglen mögten, so 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gleich beÿ dem austritt auß denen Schiffen wissen mögen.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In meinen vorigen hatte zu melden vergessen, wie daß die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Schiffleüthe zu Basel ein </w:t>
      </w:r>
      <w:r>
        <w:rPr>
          <w:rStyle w:val="Italics"/>
          <w:sz w:val="20"/>
          <w:szCs w:val="20"/>
        </w:rPr>
        <w:t>Complot</w:t>
      </w:r>
      <w:r>
        <w:rPr>
          <w:sz w:val="20"/>
          <w:szCs w:val="20"/>
        </w:rPr>
        <w:t xml:space="preserve"> gemacht hatten ihre von alters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 habende </w:t>
      </w:r>
      <w:r>
        <w:rPr>
          <w:rStyle w:val="Italics"/>
          <w:sz w:val="20"/>
          <w:szCs w:val="20"/>
        </w:rPr>
        <w:t>privilegien quovis modis</w:t>
      </w:r>
      <w:r>
        <w:rPr>
          <w:rStyle w:val="FootnoteReference"/>
          <w:sz w:val="20"/>
          <w:szCs w:val="20"/>
        </w:rPr>
        <w:footnoteReference w:id="28"/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vatiren</w:t>
      </w:r>
      <w:r>
        <w:rPr>
          <w:rStyle w:val="FootnoteReference"/>
          <w:sz w:val="20"/>
          <w:szCs w:val="20"/>
        </w:rPr>
        <w:footnoteReference w:id="29"/>
      </w:r>
      <w:r>
        <w:rPr>
          <w:sz w:val="20"/>
          <w:szCs w:val="20"/>
        </w:rPr>
        <w:t xml:space="preserve"> zu machen, 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>und demnach keinen Berner Schiffmann passiren zu lassen,</w:t>
      </w:r>
    </w:p>
    <w:p w:rsidR="00B83993" w:rsidRDefault="00B83993" w:rsidP="00B83993">
      <w:pPr>
        <w:pStyle w:val="OriginalText"/>
        <w:rPr>
          <w:rStyle w:val="Italics"/>
          <w:sz w:val="20"/>
          <w:szCs w:val="20"/>
        </w:rPr>
      </w:pPr>
      <w:r>
        <w:rPr>
          <w:sz w:val="20"/>
          <w:szCs w:val="20"/>
        </w:rPr>
        <w:t xml:space="preserve">sondern die fahrt auff sich selbsten zu nehmen und Unß </w:t>
      </w:r>
      <w:r>
        <w:rPr>
          <w:rStyle w:val="Italics"/>
          <w:sz w:val="20"/>
          <w:szCs w:val="20"/>
        </w:rPr>
        <w:t>pro-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lubitu</w:t>
      </w:r>
      <w:r>
        <w:rPr>
          <w:rStyle w:val="FootnoteReference"/>
          <w:sz w:val="20"/>
          <w:szCs w:val="20"/>
        </w:rPr>
        <w:footnoteReference w:id="30"/>
      </w:r>
      <w:r>
        <w:rPr>
          <w:sz w:val="20"/>
          <w:szCs w:val="20"/>
        </w:rPr>
        <w:t xml:space="preserve"> zu strigeln.  Weilen aber so gleich beÿ meiner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Ankunfft zu Basel von diesem </w:t>
      </w:r>
      <w:r>
        <w:rPr>
          <w:rStyle w:val="Italics"/>
          <w:sz w:val="20"/>
          <w:szCs w:val="20"/>
        </w:rPr>
        <w:t>Complot</w:t>
      </w:r>
      <w:r>
        <w:rPr>
          <w:sz w:val="20"/>
          <w:szCs w:val="20"/>
        </w:rPr>
        <w:t xml:space="preserve"> windt bekommen,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als habe nebst überreichung ihrer Hochmögendten </w:t>
      </w:r>
      <w:r>
        <w:rPr>
          <w:rStyle w:val="Italics"/>
          <w:sz w:val="20"/>
          <w:szCs w:val="20"/>
        </w:rPr>
        <w:t>Creditivs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mich ungesaumbt beÿ dem </w:t>
      </w:r>
      <w:r>
        <w:rPr>
          <w:rStyle w:val="Italics"/>
          <w:sz w:val="20"/>
          <w:szCs w:val="20"/>
        </w:rPr>
        <w:t>Magistrat</w:t>
      </w:r>
      <w:r>
        <w:rPr>
          <w:sz w:val="20"/>
          <w:szCs w:val="20"/>
        </w:rPr>
        <w:t xml:space="preserve"> angemeldet und umb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remedur</w:t>
      </w:r>
      <w:r>
        <w:rPr>
          <w:rStyle w:val="FootnoteReference"/>
          <w:sz w:val="20"/>
          <w:szCs w:val="20"/>
        </w:rPr>
        <w:footnoteReference w:id="31"/>
      </w:r>
      <w:r>
        <w:rPr>
          <w:sz w:val="20"/>
          <w:szCs w:val="20"/>
        </w:rPr>
        <w:t xml:space="preserve"> gebetten, damit diese Sache in </w:t>
      </w:r>
      <w:r>
        <w:rPr>
          <w:rStyle w:val="Italics"/>
          <w:sz w:val="20"/>
          <w:szCs w:val="20"/>
        </w:rPr>
        <w:t>hoc émergenti</w:t>
      </w:r>
      <w:r>
        <w:rPr>
          <w:rStyle w:val="FootnoteReference"/>
          <w:sz w:val="20"/>
          <w:szCs w:val="20"/>
        </w:rPr>
        <w:footnoteReference w:id="32"/>
      </w:r>
      <w:r>
        <w:rPr>
          <w:sz w:val="20"/>
          <w:szCs w:val="20"/>
        </w:rPr>
        <w:t xml:space="preserve"> zu keiner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Weitläufftigkeit gedeÿen möge.  Welcher dann auch zu </w:t>
      </w:r>
      <w:r>
        <w:rPr>
          <w:rStyle w:val="Italics"/>
          <w:sz w:val="20"/>
          <w:szCs w:val="20"/>
        </w:rPr>
        <w:t>respect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ihrer hochmögendten so gleich zweÿ herren des Raths </w:t>
      </w:r>
      <w:r>
        <w:rPr>
          <w:rStyle w:val="Italics"/>
          <w:sz w:val="20"/>
          <w:szCs w:val="20"/>
        </w:rPr>
        <w:t>deputiret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3]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umb mit mir über diese Sache zu </w:t>
      </w:r>
      <w:r>
        <w:rPr>
          <w:rStyle w:val="Italics"/>
          <w:sz w:val="20"/>
          <w:szCs w:val="20"/>
        </w:rPr>
        <w:t>conferiren</w:t>
      </w:r>
      <w:r>
        <w:rPr>
          <w:sz w:val="20"/>
          <w:szCs w:val="20"/>
        </w:rPr>
        <w:t xml:space="preserve"> und so dann dieselbe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 viel immer thunlich in der gute beÿzulegen, welches dann auch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viel gefruchtet, daß nach vielem und langem </w:t>
      </w:r>
      <w:r>
        <w:rPr>
          <w:rStyle w:val="Italics"/>
          <w:sz w:val="20"/>
          <w:szCs w:val="20"/>
        </w:rPr>
        <w:t>Disputiren</w:t>
      </w:r>
      <w:r>
        <w:rPr>
          <w:sz w:val="20"/>
          <w:szCs w:val="20"/>
        </w:rPr>
        <w:t>, Wir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Unß endlichen dahin verglichen, daß die Baßler bis auff Mannheim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funff wohlerfahrne Schiffleüthe gegen bezahlung eines etwas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grösern Lohns, als die Berner gemacht hatten, </w:t>
      </w:r>
      <w:r>
        <w:rPr>
          <w:rStyle w:val="Italics"/>
          <w:sz w:val="20"/>
          <w:szCs w:val="20"/>
        </w:rPr>
        <w:t>fourniren</w:t>
      </w:r>
      <w:r>
        <w:rPr>
          <w:sz w:val="20"/>
          <w:szCs w:val="20"/>
        </w:rPr>
        <w:t>, im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gegentheil aber so viel Berner zuruck gehen solten.  Es hat herr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Ritter und Ich Unß so viel ehenter hierzu, wie schwer es Unß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ankommen, </w:t>
      </w:r>
      <w:r>
        <w:rPr>
          <w:rStyle w:val="Italics"/>
          <w:sz w:val="20"/>
          <w:szCs w:val="20"/>
        </w:rPr>
        <w:t>resolviern</w:t>
      </w:r>
      <w:r>
        <w:rPr>
          <w:sz w:val="20"/>
          <w:szCs w:val="20"/>
        </w:rPr>
        <w:t xml:space="preserve"> müssen, weilen Wir in erfahrung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gebracht, daß die Schiffleüthe zu Breÿsach und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"Strassburg"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Straßburg gegen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Berner ein gleiches </w:t>
      </w:r>
      <w:r>
        <w:rPr>
          <w:rStyle w:val="Italics"/>
          <w:sz w:val="20"/>
          <w:szCs w:val="20"/>
        </w:rPr>
        <w:t>complot</w:t>
      </w:r>
      <w:r>
        <w:rPr>
          <w:sz w:val="20"/>
          <w:szCs w:val="20"/>
        </w:rPr>
        <w:t xml:space="preserve"> gemacht, so daß wann mann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schon an einem Orth hätte entrinnen mögen, mann an dem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andern Demnoch ohnfehlbahr haar</w:t>
      </w:r>
      <w:r>
        <w:rPr>
          <w:rStyle w:val="FootnoteReference"/>
          <w:sz w:val="20"/>
          <w:szCs w:val="20"/>
        </w:rPr>
        <w:footnoteReference w:id="33"/>
      </w:r>
      <w:r>
        <w:rPr>
          <w:sz w:val="20"/>
          <w:szCs w:val="20"/>
        </w:rPr>
        <w:t xml:space="preserve"> hätten lassen müssen, anstatt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daß die Baßler, alß welche krafft besitzender privilegien die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freÿe farth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"expulsion in 1711:route taken"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den Rhein hinunter haben, zu Breÿsach und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Straßburg die Reis über alle maßen </w:t>
      </w:r>
      <w:r>
        <w:rPr>
          <w:rStyle w:val="Italics"/>
          <w:sz w:val="20"/>
          <w:szCs w:val="20"/>
        </w:rPr>
        <w:t>faciliti</w:t>
      </w:r>
      <w:r>
        <w:rPr>
          <w:sz w:val="20"/>
          <w:szCs w:val="20"/>
        </w:rPr>
        <w:t>ren können.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Mit dem allem förchte dennoch es werde zu Straßburg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abermahlen grose difficultäten gesetzt haben welche mann à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force d’argent</w:t>
      </w:r>
      <w:r>
        <w:rPr>
          <w:rStyle w:val="FootnoteReference"/>
          <w:sz w:val="20"/>
          <w:szCs w:val="20"/>
        </w:rPr>
        <w:footnoteReference w:id="34"/>
      </w:r>
      <w:r>
        <w:rPr>
          <w:sz w:val="20"/>
          <w:szCs w:val="20"/>
        </w:rPr>
        <w:t xml:space="preserve"> wird haben heben müssen, welches meine Hocheehrte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herren von herren Ritter und Daniel Richen zu vernehmen haben werden.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Die Schiffe seindt erst Sambstags umb den Mittag von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Basel verreiset, und weilen solche schon zu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"Hüningen"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Hünningen wieder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anländen müssen, damit mann solche visitiren und die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auffhabende Leüthe mustern möge, als glaube schwerlich daß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solche erwehnten tag weit werden haben </w:t>
      </w:r>
      <w:r>
        <w:rPr>
          <w:rStyle w:val="Italics"/>
          <w:sz w:val="20"/>
          <w:szCs w:val="20"/>
        </w:rPr>
        <w:t>avanciren</w:t>
      </w:r>
      <w:r>
        <w:rPr>
          <w:sz w:val="20"/>
          <w:szCs w:val="20"/>
        </w:rPr>
        <w:t xml:space="preserve"> können.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4]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Ich bin tags darauff wiederumb von Basel verreiset, und weilen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meine </w:t>
      </w:r>
      <w:r>
        <w:rPr>
          <w:rStyle w:val="Italics"/>
          <w:sz w:val="20"/>
          <w:szCs w:val="20"/>
        </w:rPr>
        <w:t>Routte</w:t>
      </w:r>
      <w:r>
        <w:rPr>
          <w:sz w:val="20"/>
          <w:szCs w:val="20"/>
        </w:rPr>
        <w:t xml:space="preserve"> umb mehrerer sicherheit willen nicht in </w:t>
      </w:r>
      <w:r>
        <w:rPr>
          <w:rStyle w:val="Italics"/>
          <w:sz w:val="20"/>
          <w:szCs w:val="20"/>
        </w:rPr>
        <w:t>drittura</w:t>
      </w:r>
      <w:r>
        <w:rPr>
          <w:rStyle w:val="FootnoteReference"/>
          <w:sz w:val="20"/>
          <w:szCs w:val="20"/>
        </w:rPr>
        <w:footnoteReference w:id="35"/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sondern über den Schweitzer Boden nehmen müssen, so bin erst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vorgestern umb den Mittag, Gott seÿe lob und danck darfür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gesagt, glücklich und gesundt allhier angelanget, dannenhero mir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wegen kürtze der zeit unmöglich gewesen </w:t>
      </w:r>
      <w:r>
        <w:rPr>
          <w:rStyle w:val="Italics"/>
          <w:sz w:val="20"/>
          <w:szCs w:val="20"/>
        </w:rPr>
        <w:t>pro nunc</w:t>
      </w:r>
      <w:r>
        <w:rPr>
          <w:sz w:val="20"/>
          <w:szCs w:val="20"/>
        </w:rPr>
        <w:t xml:space="preserve"> die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ordentliche </w:t>
      </w:r>
      <w:r>
        <w:rPr>
          <w:rStyle w:val="Italics"/>
          <w:sz w:val="20"/>
          <w:szCs w:val="20"/>
        </w:rPr>
        <w:t>Specification</w:t>
      </w:r>
      <w:r>
        <w:rPr>
          <w:sz w:val="20"/>
          <w:szCs w:val="20"/>
        </w:rPr>
        <w:t xml:space="preserve"> der eingegangenen Täuffer mittel zu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>übersendten, welche aber so es Gott beliebet mit nechster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ordinari</w:t>
      </w:r>
      <w:r>
        <w:rPr>
          <w:sz w:val="20"/>
          <w:szCs w:val="20"/>
        </w:rPr>
        <w:t xml:space="preserve"> folgen solle, worauff dann auch meine Rechnungen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verfertigen und solche so bald möglich ebenmäßig einsendten,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wegen des </w:t>
      </w:r>
      <w:r>
        <w:rPr>
          <w:rStyle w:val="Italics"/>
          <w:sz w:val="20"/>
          <w:szCs w:val="20"/>
        </w:rPr>
        <w:t>reliquats</w:t>
      </w:r>
      <w:r>
        <w:rPr>
          <w:rStyle w:val="FootnoteReference"/>
          <w:sz w:val="20"/>
          <w:szCs w:val="20"/>
        </w:rPr>
        <w:footnoteReference w:id="36"/>
      </w:r>
      <w:r>
        <w:rPr>
          <w:sz w:val="20"/>
          <w:szCs w:val="20"/>
        </w:rPr>
        <w:t xml:space="preserve"> auff meinen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Ludwig:agent in The Hague"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Solliciteur</w:t>
      </w:r>
      <w:r>
        <w:rPr>
          <w:rStyle w:val="FootnoteReference"/>
          <w:sz w:val="20"/>
          <w:szCs w:val="20"/>
        </w:rPr>
        <w:footnoteReference w:id="37"/>
      </w:r>
      <w:r>
        <w:rPr>
          <w:sz w:val="20"/>
          <w:szCs w:val="20"/>
        </w:rPr>
        <w:t xml:space="preserve"> in dem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Haag </w:t>
      </w:r>
      <w:r>
        <w:rPr>
          <w:rStyle w:val="Italics"/>
          <w:sz w:val="20"/>
          <w:szCs w:val="20"/>
        </w:rPr>
        <w:t>assignationes</w:t>
      </w:r>
      <w:r>
        <w:rPr>
          <w:rStyle w:val="FootnoteReference"/>
          <w:sz w:val="20"/>
          <w:szCs w:val="20"/>
        </w:rPr>
        <w:footnoteReference w:id="38"/>
      </w:r>
      <w:r>
        <w:rPr>
          <w:sz w:val="20"/>
          <w:szCs w:val="20"/>
        </w:rPr>
        <w:t xml:space="preserve"> geben werde.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Beÿ meiner Ankunfft allhier fandte M[einen] h[och] g. herren angenehmes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7 </w:t>
      </w:r>
      <w:r>
        <w:rPr>
          <w:rStyle w:val="Italics"/>
          <w:sz w:val="20"/>
          <w:szCs w:val="20"/>
        </w:rPr>
        <w:t>currentis</w:t>
      </w:r>
      <w:r>
        <w:rPr>
          <w:sz w:val="20"/>
          <w:szCs w:val="20"/>
        </w:rPr>
        <w:t>, welches mir von Bern zuruck gesandt worden.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Wann solches ehenter gehabt hätte, so Wolten Wir gesehen haben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 mann M[eine] h[och] g. herren wegen der </w:t>
      </w:r>
      <w:r>
        <w:rPr>
          <w:rStyle w:val="Italics"/>
          <w:sz w:val="20"/>
          <w:szCs w:val="20"/>
        </w:rPr>
        <w:t>Passagiers</w:t>
      </w:r>
      <w:r>
        <w:rPr>
          <w:sz w:val="20"/>
          <w:szCs w:val="20"/>
        </w:rPr>
        <w:t xml:space="preserve"> ein genügen leisten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können, nunmehro aber ist solches zu spath.  Indessen werden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M[eine] h. g. herren derer </w:t>
      </w:r>
      <w:r>
        <w:rPr>
          <w:rStyle w:val="Italics"/>
          <w:sz w:val="20"/>
          <w:szCs w:val="20"/>
        </w:rPr>
        <w:t>Liste</w:t>
      </w:r>
      <w:r>
        <w:rPr>
          <w:sz w:val="20"/>
          <w:szCs w:val="20"/>
        </w:rPr>
        <w:t xml:space="preserve"> hierbeÿ zu empfangen haben, und können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versicheret leben, daß solche alle auff ihre eigene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"passports for other passengers:on ships"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Passeporte</w:t>
      </w:r>
      <w:r>
        <w:rPr>
          <w:sz w:val="20"/>
          <w:szCs w:val="20"/>
        </w:rPr>
        <w:t>,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darmit sie sich, ehe und bevor mann solche angenommen, versehen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müssen, und im geringsten nicht unter denenjenigen so denen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Täufferen verliehen worden, ihre Reis verrichten, und dannen-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hero auch alle </w:t>
      </w:r>
      <w:r>
        <w:rPr>
          <w:rStyle w:val="Italics"/>
          <w:sz w:val="20"/>
          <w:szCs w:val="20"/>
        </w:rPr>
        <w:t>jura</w:t>
      </w:r>
      <w:r>
        <w:rPr>
          <w:rStyle w:val="FootnoteReference"/>
          <w:sz w:val="20"/>
          <w:szCs w:val="20"/>
        </w:rPr>
        <w:footnoteReference w:id="39"/>
      </w:r>
      <w:r>
        <w:rPr>
          <w:sz w:val="20"/>
          <w:szCs w:val="20"/>
        </w:rPr>
        <w:t xml:space="preserve"> auff der </w:t>
      </w:r>
      <w:r>
        <w:rPr>
          <w:rStyle w:val="Italics"/>
          <w:sz w:val="20"/>
          <w:szCs w:val="20"/>
        </w:rPr>
        <w:t>routte</w:t>
      </w:r>
      <w:r>
        <w:rPr>
          <w:sz w:val="20"/>
          <w:szCs w:val="20"/>
        </w:rPr>
        <w:t xml:space="preserve"> entrichten müssen, ohne daß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Sie der Freÿbrieffen einiger maßen </w:t>
      </w:r>
      <w:r>
        <w:rPr>
          <w:rStyle w:val="Italics"/>
          <w:sz w:val="20"/>
          <w:szCs w:val="20"/>
        </w:rPr>
        <w:t>gaudiren</w:t>
      </w:r>
      <w:r>
        <w:rPr>
          <w:rStyle w:val="FootnoteReference"/>
          <w:sz w:val="20"/>
          <w:szCs w:val="20"/>
        </w:rPr>
        <w:footnoteReference w:id="40"/>
      </w:r>
      <w:r>
        <w:rPr>
          <w:sz w:val="20"/>
          <w:szCs w:val="20"/>
        </w:rPr>
        <w:t xml:space="preserve"> mögen.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Hierbeÿ folget ferners die </w:t>
      </w:r>
      <w:r>
        <w:rPr>
          <w:rStyle w:val="Italics"/>
          <w:sz w:val="20"/>
          <w:szCs w:val="20"/>
        </w:rPr>
        <w:t>Secunda</w:t>
      </w:r>
      <w:r>
        <w:rPr>
          <w:rStyle w:val="FootnoteReference"/>
          <w:sz w:val="20"/>
          <w:szCs w:val="20"/>
        </w:rPr>
        <w:footnoteReference w:id="41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"letter of exchange"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Wechßelbrieffs von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5]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Herren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"Malacrida and Co., Messrs,"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 xml:space="preserve">Malacrida et Compagnia </w:t>
      </w:r>
      <w:r>
        <w:rPr>
          <w:sz w:val="20"/>
          <w:szCs w:val="20"/>
        </w:rPr>
        <w:t>st</w:t>
      </w:r>
      <w:r>
        <w:rPr>
          <w:rStyle w:val="FootnoteReference"/>
          <w:sz w:val="20"/>
          <w:szCs w:val="20"/>
        </w:rPr>
        <w:footnoteReference w:id="42"/>
      </w:r>
      <w:r>
        <w:rPr>
          <w:sz w:val="20"/>
          <w:szCs w:val="20"/>
        </w:rPr>
        <w:t xml:space="preserve"> R[eichs]th[ale]r 11400 welche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M[eine] h[och] g[eehrte] herren </w:t>
      </w:r>
      <w:r>
        <w:rPr>
          <w:rStyle w:val="Italics"/>
          <w:sz w:val="20"/>
          <w:szCs w:val="20"/>
        </w:rPr>
        <w:t>pro more</w:t>
      </w:r>
      <w:r>
        <w:rPr>
          <w:rStyle w:val="FootnoteReference"/>
          <w:sz w:val="20"/>
          <w:szCs w:val="20"/>
        </w:rPr>
        <w:footnoteReference w:id="43"/>
      </w:r>
      <w:r>
        <w:rPr>
          <w:sz w:val="20"/>
          <w:szCs w:val="20"/>
        </w:rPr>
        <w:t xml:space="preserve"> wollen </w:t>
      </w:r>
      <w:r>
        <w:rPr>
          <w:rStyle w:val="Italics"/>
          <w:sz w:val="20"/>
          <w:szCs w:val="20"/>
        </w:rPr>
        <w:t>valiren</w:t>
      </w:r>
      <w:r>
        <w:rPr>
          <w:rStyle w:val="FootnoteReference"/>
          <w:sz w:val="20"/>
          <w:szCs w:val="20"/>
        </w:rPr>
        <w:footnoteReference w:id="44"/>
      </w:r>
      <w:r>
        <w:rPr>
          <w:sz w:val="20"/>
          <w:szCs w:val="20"/>
        </w:rPr>
        <w:t xml:space="preserve"> machen.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Weiters übersendte herbeÿ eine </w:t>
      </w:r>
      <w:r>
        <w:rPr>
          <w:rStyle w:val="Italics"/>
          <w:sz w:val="20"/>
          <w:szCs w:val="20"/>
        </w:rPr>
        <w:t>Liste</w:t>
      </w:r>
      <w:r>
        <w:rPr>
          <w:sz w:val="20"/>
          <w:szCs w:val="20"/>
        </w:rPr>
        <w:t xml:space="preserve"> der </w:t>
      </w:r>
      <w:r>
        <w:rPr>
          <w:rStyle w:val="Italics"/>
          <w:sz w:val="20"/>
          <w:szCs w:val="20"/>
        </w:rPr>
        <w:t>Directeurs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rStyle w:val="Italics"/>
          <w:sz w:val="20"/>
          <w:szCs w:val="20"/>
        </w:rPr>
        <w:t>Sousdirecteurs</w:t>
      </w:r>
      <w:r>
        <w:rPr>
          <w:rStyle w:val="FootnoteReference"/>
          <w:sz w:val="20"/>
          <w:szCs w:val="20"/>
        </w:rPr>
        <w:footnoteReference w:id="45"/>
      </w:r>
      <w:r>
        <w:rPr>
          <w:sz w:val="20"/>
          <w:szCs w:val="20"/>
        </w:rPr>
        <w:t xml:space="preserve"> welche die </w:t>
      </w:r>
      <w:r>
        <w:rPr>
          <w:rStyle w:val="Italics"/>
          <w:sz w:val="20"/>
          <w:szCs w:val="20"/>
        </w:rPr>
        <w:t>conduitte</w:t>
      </w:r>
      <w:r>
        <w:rPr>
          <w:sz w:val="20"/>
          <w:szCs w:val="20"/>
        </w:rPr>
        <w:t xml:space="preserve"> dieser armen Leüthen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über sich genommen.  Den herren Ritter </w:t>
      </w:r>
      <w:r>
        <w:rPr>
          <w:rStyle w:val="Italics"/>
          <w:sz w:val="20"/>
          <w:szCs w:val="20"/>
        </w:rPr>
        <w:t>recommandire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nochmahlen </w:t>
      </w:r>
      <w:r>
        <w:rPr>
          <w:rStyle w:val="Italics"/>
          <w:sz w:val="20"/>
          <w:szCs w:val="20"/>
        </w:rPr>
        <w:t>de meliori</w:t>
      </w:r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46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"Haller, Mr."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Herr Haller wird auff den in meinem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ehemahls eingesendeten </w:t>
      </w:r>
      <w:r>
        <w:rPr>
          <w:rStyle w:val="Italics"/>
          <w:sz w:val="20"/>
          <w:szCs w:val="20"/>
        </w:rPr>
        <w:t>project</w:t>
      </w:r>
      <w:r>
        <w:rPr>
          <w:sz w:val="20"/>
          <w:szCs w:val="20"/>
        </w:rPr>
        <w:t xml:space="preserve"> enthaltenen fuß mit einem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R[eichs]th[ale]r st tag müßen bezahlt,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"Gruner, Mr."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herr Gruner aber mit einer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ehrlichen </w:t>
      </w:r>
      <w:r>
        <w:rPr>
          <w:rStyle w:val="Italics"/>
          <w:sz w:val="20"/>
          <w:szCs w:val="20"/>
        </w:rPr>
        <w:t>honoranz</w:t>
      </w:r>
      <w:r>
        <w:rPr>
          <w:sz w:val="20"/>
          <w:szCs w:val="20"/>
        </w:rPr>
        <w:t xml:space="preserve"> abgefertiget werden, weilen Wir ihme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niemahlen kein </w:t>
      </w:r>
      <w:r>
        <w:rPr>
          <w:rStyle w:val="Italics"/>
          <w:sz w:val="20"/>
          <w:szCs w:val="20"/>
        </w:rPr>
        <w:t>Salarium</w:t>
      </w:r>
      <w:r>
        <w:rPr>
          <w:sz w:val="20"/>
          <w:szCs w:val="20"/>
        </w:rPr>
        <w:t xml:space="preserve"> versprechen wollen.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Womit nebst allseitiger Erlasung in Gottes starcken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gnaden Schutz und sonster meiner und der meiniger empfehlung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 dero andächtiges Gebett stetshin Verharre.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Meiner hochgeehrten herren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Ergebenster Diener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Johann Ludwig Runckel./.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B83993" w:rsidRDefault="00B83993" w:rsidP="00B83993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180</w:t>
      </w:r>
      <w:r>
        <w:tab/>
      </w:r>
      <w:r>
        <w:rPr>
          <w:rStyle w:val="FootnoteReference"/>
        </w:rPr>
        <w:tab/>
      </w:r>
      <w:r>
        <w:t xml:space="preserve">This is A 1342 from the De Hoop Scheffer </w:t>
      </w:r>
      <w:r>
        <w:rPr>
          <w:rStyle w:val="Italics"/>
        </w:rPr>
        <w:t>Inventaris</w:t>
      </w:r>
      <w:r>
        <w:t>.</w:t>
      </w:r>
    </w:p>
    <w:p w:rsidR="00B83993" w:rsidRDefault="00B83993" w:rsidP="00B83993">
      <w:pPr>
        <w:pStyle w:val="FootnoteText"/>
      </w:pPr>
    </w:p>
  </w:footnote>
  <w:footnote w:id="4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B83993" w:rsidRDefault="00B83993" w:rsidP="00B83993">
      <w:pPr>
        <w:pStyle w:val="Footnote-OneDigit"/>
      </w:pPr>
    </w:p>
  </w:footnote>
  <w:footnote w:id="5">
    <w:p w:rsidR="00B83993" w:rsidRDefault="00B83993" w:rsidP="00B83993">
      <w:pPr>
        <w:pStyle w:val="FirstFootnoteinColumnLine"/>
      </w:pPr>
      <w:r>
        <w:rPr>
          <w:vertAlign w:val="superscript"/>
        </w:rPr>
        <w:footnoteRef/>
      </w:r>
      <w:r>
        <w:tab/>
        <w:t>beschehen = geschehen.</w:t>
      </w:r>
    </w:p>
    <w:p w:rsidR="00B83993" w:rsidRDefault="00B83993" w:rsidP="00B83993">
      <w:pPr>
        <w:pStyle w:val="FirstFootnoteinColumnLine"/>
      </w:pPr>
    </w:p>
  </w:footnote>
  <w:footnote w:id="6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quovis modis</w:t>
      </w:r>
      <w:r>
        <w:t xml:space="preserve">, “in some manner” (Latin, </w:t>
      </w:r>
      <w:r>
        <w:rPr>
          <w:rStyle w:val="Italics"/>
        </w:rPr>
        <w:t>quovis modo</w:t>
      </w:r>
      <w:r>
        <w:t xml:space="preserve"> as in Documents 130 and 204).  </w:t>
      </w:r>
    </w:p>
    <w:p w:rsidR="00B83993" w:rsidRDefault="00B83993" w:rsidP="00B83993">
      <w:pPr>
        <w:pStyle w:val="Footnote-OneDigit"/>
      </w:pPr>
    </w:p>
  </w:footnote>
  <w:footnote w:id="7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vatiren</w:t>
      </w:r>
      <w:r>
        <w:t>, “to acknowledge” (German).</w:t>
      </w:r>
    </w:p>
    <w:p w:rsidR="00B83993" w:rsidRDefault="00B83993" w:rsidP="00B83993">
      <w:pPr>
        <w:pStyle w:val="Footnote-OneDigit"/>
      </w:pPr>
    </w:p>
  </w:footnote>
  <w:footnote w:id="8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prolubitu</w:t>
      </w:r>
      <w:r>
        <w:t xml:space="preserve">, “by, or according to their whim.”  This meaning is a conjecture because this word could not be found.  It appears to be related to the Latin word </w:t>
      </w:r>
      <w:r>
        <w:rPr>
          <w:rStyle w:val="Italics"/>
        </w:rPr>
        <w:t>prolubium</w:t>
      </w:r>
      <w:r>
        <w:t xml:space="preserve">, “desire, whim.”  </w:t>
      </w:r>
    </w:p>
    <w:p w:rsidR="00B83993" w:rsidRDefault="00B83993" w:rsidP="00B83993">
      <w:pPr>
        <w:pStyle w:val="Footnote-OneDigit"/>
      </w:pPr>
    </w:p>
  </w:footnote>
  <w:footnote w:id="9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remedur</w:t>
      </w:r>
      <w:r>
        <w:t>, “removal of grievances, remedy” (German).</w:t>
      </w:r>
    </w:p>
    <w:p w:rsidR="00B83993" w:rsidRDefault="00B83993" w:rsidP="00B83993">
      <w:pPr>
        <w:pStyle w:val="Footnote-OneDigit"/>
      </w:pPr>
    </w:p>
  </w:footnote>
  <w:footnote w:id="10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hoc emergenti</w:t>
      </w:r>
      <w:r>
        <w:t>, “in this [sudden] occurrence”  (Latin, perhaps with a meaning from medieval Latin).</w:t>
      </w:r>
    </w:p>
    <w:p w:rsidR="00B83993" w:rsidRDefault="00B83993" w:rsidP="00B83993">
      <w:pPr>
        <w:pStyle w:val="Footnote-OneDigit"/>
      </w:pPr>
    </w:p>
  </w:footnote>
  <w:footnote w:id="11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haar lassen</w:t>
      </w:r>
      <w:r>
        <w:t>, “suffer loss, be fleeced” (German).</w:t>
      </w:r>
    </w:p>
    <w:p w:rsidR="00B83993" w:rsidRDefault="00B83993" w:rsidP="00B83993">
      <w:pPr>
        <w:pStyle w:val="Footnote-OneDigit"/>
      </w:pPr>
    </w:p>
  </w:footnote>
  <w:footnote w:id="12">
    <w:p w:rsidR="00B83993" w:rsidRDefault="00B83993" w:rsidP="00B83993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à force d’argent</w:t>
      </w:r>
      <w:r>
        <w:t>, “by means of silver” (French).</w:t>
      </w:r>
    </w:p>
    <w:p w:rsidR="00B83993" w:rsidRDefault="00B83993" w:rsidP="00B83993">
      <w:pPr>
        <w:pStyle w:val="TwoDigitFirstFootnoteinColumnLine"/>
      </w:pPr>
    </w:p>
  </w:footnote>
  <w:footnote w:id="13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drittura</w:t>
      </w:r>
      <w:r>
        <w:t xml:space="preserve">, “by a direct route” (Italian) with an alternative form </w:t>
      </w:r>
      <w:r>
        <w:rPr>
          <w:rStyle w:val="Italics"/>
        </w:rPr>
        <w:t>dirittura</w:t>
      </w:r>
      <w:r>
        <w:t>.</w:t>
      </w:r>
    </w:p>
    <w:p w:rsidR="00B83993" w:rsidRDefault="00B83993" w:rsidP="00B83993">
      <w:pPr>
        <w:pStyle w:val="Footnote-TwoDigit"/>
      </w:pPr>
    </w:p>
  </w:footnote>
  <w:footnote w:id="14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reliquat</w:t>
      </w:r>
      <w:r>
        <w:t>, “balance of an account” (French).</w:t>
      </w:r>
    </w:p>
    <w:p w:rsidR="00B83993" w:rsidRDefault="00B83993" w:rsidP="00B83993">
      <w:pPr>
        <w:pStyle w:val="Footnote-TwoDigit"/>
      </w:pPr>
    </w:p>
  </w:footnote>
  <w:footnote w:id="15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Solliciteur</w:t>
      </w:r>
      <w:r>
        <w:t>, “petitioner” (French), probably “agent.”</w:t>
      </w:r>
    </w:p>
    <w:p w:rsidR="00B83993" w:rsidRDefault="00B83993" w:rsidP="00B83993">
      <w:pPr>
        <w:pStyle w:val="Footnote-TwoDigit"/>
      </w:pPr>
    </w:p>
  </w:footnote>
  <w:footnote w:id="16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assignationes</w:t>
      </w:r>
      <w:r>
        <w:t xml:space="preserve">, “assignments, allotments” (Latin); </w:t>
      </w:r>
      <w:r>
        <w:rPr>
          <w:rStyle w:val="Italics"/>
        </w:rPr>
        <w:t>assignation</w:t>
      </w:r>
      <w:r>
        <w:t>, “transfer of funds” (French).</w:t>
      </w:r>
    </w:p>
    <w:p w:rsidR="00B83993" w:rsidRDefault="00B83993" w:rsidP="00B83993">
      <w:pPr>
        <w:pStyle w:val="Footnote-TwoDigit"/>
      </w:pPr>
    </w:p>
  </w:footnote>
  <w:footnote w:id="17">
    <w:p w:rsidR="00B83993" w:rsidRDefault="00B83993" w:rsidP="00B83993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jura</w:t>
      </w:r>
      <w:r>
        <w:t>, “rights, obligations” (Latin).</w:t>
      </w:r>
    </w:p>
    <w:p w:rsidR="00B83993" w:rsidRDefault="00B83993" w:rsidP="00B83993">
      <w:pPr>
        <w:pStyle w:val="TwoDigitFirstFootnoteinColumnLine"/>
      </w:pPr>
    </w:p>
  </w:footnote>
  <w:footnote w:id="18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gaudiren</w:t>
      </w:r>
      <w:r>
        <w:t>, “rejoice” (from Latin).</w:t>
      </w:r>
    </w:p>
    <w:p w:rsidR="00B83993" w:rsidRDefault="00B83993" w:rsidP="00B83993">
      <w:pPr>
        <w:pStyle w:val="Footnote-TwoDigit"/>
      </w:pPr>
    </w:p>
  </w:footnote>
  <w:footnote w:id="19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secunda</w:t>
      </w:r>
      <w:r>
        <w:t xml:space="preserve">, “second bill of a set of exchange.” </w:t>
      </w:r>
      <w:r>
        <w:rPr>
          <w:rStyle w:val="Italics"/>
        </w:rPr>
        <w:t>A Dictionary of the German and English Languages</w:t>
      </w:r>
      <w:r>
        <w:t xml:space="preserve"> by G. J. Adler (New York, 1848, 1872).  Cf. the use of </w:t>
      </w:r>
      <w:r>
        <w:rPr>
          <w:rStyle w:val="Italics"/>
        </w:rPr>
        <w:t>prima</w:t>
      </w:r>
      <w:r>
        <w:t xml:space="preserve"> earlier in this document and in Document 176.  </w:t>
      </w:r>
    </w:p>
    <w:p w:rsidR="00B83993" w:rsidRDefault="00B83993" w:rsidP="00B83993">
      <w:pPr>
        <w:pStyle w:val="Footnote-TwoDigit"/>
      </w:pPr>
    </w:p>
  </w:footnote>
  <w:footnote w:id="20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  <w:t>From the context here and in the following paragraph, this abbreviation seems to mean “</w:t>
      </w:r>
      <w:r>
        <w:rPr>
          <w:rStyle w:val="Italics"/>
        </w:rPr>
        <w:t>für</w:t>
      </w:r>
      <w:r>
        <w:t xml:space="preserve">,” in English “for.” The letters </w:t>
      </w:r>
      <w:r>
        <w:rPr>
          <w:rStyle w:val="Italics"/>
        </w:rPr>
        <w:t>st</w:t>
      </w:r>
      <w:r>
        <w:t xml:space="preserve"> can stand for </w:t>
      </w:r>
      <w:r>
        <w:rPr>
          <w:rStyle w:val="Italics"/>
        </w:rPr>
        <w:t>Stück or statt</w:t>
      </w:r>
      <w:r>
        <w:t xml:space="preserve">.  A less likely possibility is that it stands for the Latin </w:t>
      </w:r>
      <w:r>
        <w:rPr>
          <w:rStyle w:val="Italics"/>
        </w:rPr>
        <w:t>scilicet</w:t>
      </w:r>
      <w:r>
        <w:t>, “namely.”  However, the abbreviation is in Gothic rather than Latin letters.  See also footnotes in Documents 144 and  166, where this occurs several times.</w:t>
      </w:r>
    </w:p>
    <w:p w:rsidR="00B83993" w:rsidRDefault="00B83993" w:rsidP="00B83993">
      <w:pPr>
        <w:pStyle w:val="Footnote-TwoDigit"/>
      </w:pPr>
    </w:p>
  </w:footnote>
  <w:footnote w:id="21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pro more</w:t>
      </w:r>
      <w:r>
        <w:t>, “for, according to the custom” (Latin).</w:t>
      </w:r>
    </w:p>
    <w:p w:rsidR="00B83993" w:rsidRDefault="00B83993" w:rsidP="00B83993">
      <w:pPr>
        <w:pStyle w:val="Footnote-TwoDigit"/>
      </w:pPr>
    </w:p>
  </w:footnote>
  <w:footnote w:id="22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valiren</w:t>
      </w:r>
      <w:r>
        <w:t>, “be worth, be of value” (German).</w:t>
      </w:r>
    </w:p>
    <w:p w:rsidR="00B83993" w:rsidRDefault="00B83993" w:rsidP="00B83993">
      <w:pPr>
        <w:pStyle w:val="Footnote-TwoDigit"/>
      </w:pPr>
    </w:p>
  </w:footnote>
  <w:footnote w:id="23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Sousdirecteur</w:t>
      </w:r>
      <w:r>
        <w:t>, “assistant directors” (French).</w:t>
      </w:r>
    </w:p>
    <w:p w:rsidR="00B83993" w:rsidRDefault="00B83993" w:rsidP="00B83993">
      <w:pPr>
        <w:pStyle w:val="Footnote-TwoDigit"/>
      </w:pPr>
    </w:p>
  </w:footnote>
  <w:footnote w:id="24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 meliori</w:t>
      </w:r>
      <w:r>
        <w:t>, literally, “concerning the better”  (Latin).</w:t>
      </w:r>
    </w:p>
    <w:p w:rsidR="00B83993" w:rsidRDefault="00B83993" w:rsidP="00B83993">
      <w:pPr>
        <w:pStyle w:val="Footnote-TwoDigit"/>
      </w:pPr>
    </w:p>
  </w:footnote>
  <w:footnote w:id="25">
    <w:p w:rsidR="00B83993" w:rsidRDefault="00B83993" w:rsidP="00FA7E48">
      <w:pPr>
        <w:pStyle w:val="Footnote-TwoDigit"/>
      </w:pPr>
      <w:r>
        <w:rPr>
          <w:vertAlign w:val="superscript"/>
        </w:rPr>
        <w:footnoteRef/>
      </w:r>
      <w:r w:rsidR="00FA7E48">
        <w:rPr>
          <w:rStyle w:val="ChapterNumberforFootnote"/>
        </w:rPr>
        <w:t xml:space="preserve"> </w:t>
      </w:r>
      <w:r>
        <w:t xml:space="preserve">This is A 1342 from the De Hoop Scheffer </w:t>
      </w:r>
      <w:r>
        <w:rPr>
          <w:rStyle w:val="Italics"/>
        </w:rPr>
        <w:t>Inventaris</w:t>
      </w:r>
      <w:r w:rsidR="00FA7E48">
        <w:t>.</w:t>
      </w:r>
    </w:p>
  </w:footnote>
  <w:footnote w:id="26">
    <w:p w:rsidR="00B83993" w:rsidRDefault="00B83993" w:rsidP="00FA7E48">
      <w:pPr>
        <w:pStyle w:val="Footnote-Two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FA7E48">
        <w:t>.</w:t>
      </w:r>
    </w:p>
  </w:footnote>
  <w:footnote w:id="27">
    <w:p w:rsidR="00B83993" w:rsidRDefault="00B83993" w:rsidP="00FA7E48">
      <w:pPr>
        <w:pStyle w:val="Footnote-TwoDigit"/>
      </w:pPr>
      <w:r>
        <w:rPr>
          <w:vertAlign w:val="superscript"/>
        </w:rPr>
        <w:footnoteRef/>
      </w:r>
      <w:r>
        <w:tab/>
        <w:t>beschehen = geschehen</w:t>
      </w:r>
      <w:r w:rsidR="00FA7E48">
        <w:t>.</w:t>
      </w:r>
    </w:p>
  </w:footnote>
  <w:footnote w:id="28">
    <w:p w:rsidR="00B83993" w:rsidRDefault="00B83993" w:rsidP="00FA7E48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quovis modis</w:t>
      </w:r>
      <w:r>
        <w:t xml:space="preserve">, “in some manner” (Latin, </w:t>
      </w:r>
      <w:r>
        <w:rPr>
          <w:rStyle w:val="Italics"/>
        </w:rPr>
        <w:t>quovis modo</w:t>
      </w:r>
      <w:r>
        <w:t xml:space="preserve"> as in Documents 130 and 204)</w:t>
      </w:r>
      <w:r w:rsidR="00FA7E48">
        <w:t>.</w:t>
      </w:r>
    </w:p>
  </w:footnote>
  <w:footnote w:id="29">
    <w:p w:rsidR="00B83993" w:rsidRDefault="00B83993" w:rsidP="00FA7E48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vatiren</w:t>
      </w:r>
      <w:r>
        <w:t>, “to acknowledge” (German)</w:t>
      </w:r>
      <w:r w:rsidR="00FA7E48">
        <w:t>.</w:t>
      </w:r>
    </w:p>
  </w:footnote>
  <w:footnote w:id="30">
    <w:p w:rsidR="00B83993" w:rsidRDefault="00B83993" w:rsidP="00FA7E48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prolubitu</w:t>
      </w:r>
      <w:r>
        <w:t xml:space="preserve">, “by, or according to their whim.”  This meaning is a conjecture because this word could not be found.  It appears to be related to the Latin word </w:t>
      </w:r>
      <w:r>
        <w:rPr>
          <w:rStyle w:val="Italics"/>
        </w:rPr>
        <w:t>prolubium</w:t>
      </w:r>
      <w:r>
        <w:t xml:space="preserve">, “desire, whim.”  </w:t>
      </w:r>
    </w:p>
    <w:p w:rsidR="00B83993" w:rsidRDefault="00B83993" w:rsidP="00FA7E48">
      <w:pPr>
        <w:pStyle w:val="Footnote-TwoDigit"/>
      </w:pPr>
    </w:p>
  </w:footnote>
  <w:footnote w:id="31">
    <w:p w:rsidR="00B83993" w:rsidRDefault="00B83993" w:rsidP="00FA7E48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remedur</w:t>
      </w:r>
      <w:r>
        <w:t>, “removal of grievances, remedy” (German)</w:t>
      </w:r>
      <w:r w:rsidR="00FA7E48">
        <w:t>.</w:t>
      </w:r>
    </w:p>
  </w:footnote>
  <w:footnote w:id="32">
    <w:p w:rsidR="00B83993" w:rsidRDefault="00B83993" w:rsidP="00FA7E48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hoc emergenti</w:t>
      </w:r>
      <w:r>
        <w:t>, “in this [sudden] occurrence”  (Latin, perhaps with a meaning from medieval Latin)</w:t>
      </w:r>
      <w:r w:rsidR="00FA7E48">
        <w:t>.</w:t>
      </w:r>
    </w:p>
  </w:footnote>
  <w:footnote w:id="33">
    <w:p w:rsidR="00B83993" w:rsidRDefault="00B83993" w:rsidP="00FA7E48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haar lassen</w:t>
      </w:r>
      <w:r>
        <w:t>, “suffer loss, be fleeced” (German)</w:t>
      </w:r>
      <w:r w:rsidR="00FA7E48">
        <w:t>.</w:t>
      </w:r>
    </w:p>
  </w:footnote>
  <w:footnote w:id="34">
    <w:p w:rsidR="00B83993" w:rsidRDefault="00B83993" w:rsidP="00FA7E48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à force d’argent</w:t>
      </w:r>
      <w:r>
        <w:t>, “by means of silver” (French)</w:t>
      </w:r>
      <w:r w:rsidR="00FA7E48">
        <w:t>.</w:t>
      </w:r>
    </w:p>
  </w:footnote>
  <w:footnote w:id="35">
    <w:p w:rsidR="00B83993" w:rsidRDefault="00B83993" w:rsidP="00FA7E48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drittura</w:t>
      </w:r>
      <w:r>
        <w:t xml:space="preserve">, “by a direct route” (Italian) with an alternative form </w:t>
      </w:r>
      <w:r>
        <w:rPr>
          <w:rStyle w:val="Italics"/>
        </w:rPr>
        <w:t>dirittura</w:t>
      </w:r>
      <w:r w:rsidR="00FA7E48">
        <w:t>.</w:t>
      </w:r>
    </w:p>
  </w:footnote>
  <w:footnote w:id="36">
    <w:p w:rsidR="00B83993" w:rsidRDefault="00B83993" w:rsidP="00FA7E48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reliquat</w:t>
      </w:r>
      <w:r>
        <w:t>, “balance of an account” (French)</w:t>
      </w:r>
      <w:r w:rsidR="00FA7E48">
        <w:t>.</w:t>
      </w:r>
    </w:p>
  </w:footnote>
  <w:footnote w:id="37">
    <w:p w:rsidR="00B83993" w:rsidRDefault="00B83993" w:rsidP="00FA7E48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Solliciteur</w:t>
      </w:r>
      <w:r>
        <w:t>, “petitioner” (French), probably “agent</w:t>
      </w:r>
      <w:r w:rsidR="00FA7E48">
        <w:t>.</w:t>
      </w:r>
    </w:p>
  </w:footnote>
  <w:footnote w:id="38">
    <w:p w:rsidR="00B83993" w:rsidRDefault="00B83993" w:rsidP="00FA7E48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assignationes</w:t>
      </w:r>
      <w:r>
        <w:t xml:space="preserve">, “assignments, allotments” (Latin); </w:t>
      </w:r>
      <w:r>
        <w:rPr>
          <w:rStyle w:val="Italics"/>
        </w:rPr>
        <w:t>assignation</w:t>
      </w:r>
      <w:r>
        <w:t>, “transfer of funds” (French)</w:t>
      </w:r>
      <w:r w:rsidR="00FA7E48">
        <w:t>.</w:t>
      </w:r>
    </w:p>
  </w:footnote>
  <w:footnote w:id="39">
    <w:p w:rsidR="00B83993" w:rsidRDefault="00B83993" w:rsidP="00FA7E48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jura</w:t>
      </w:r>
      <w:r>
        <w:t>, “rights, obligations” (Latin)</w:t>
      </w:r>
      <w:r w:rsidR="00FA7E48">
        <w:t>.</w:t>
      </w:r>
    </w:p>
  </w:footnote>
  <w:footnote w:id="40">
    <w:p w:rsidR="00B83993" w:rsidRDefault="00B83993" w:rsidP="00FA7E48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gaudiren</w:t>
      </w:r>
      <w:r>
        <w:t>, “rejoice” (from Latin)</w:t>
      </w:r>
      <w:r w:rsidR="00FA7E48">
        <w:t>.</w:t>
      </w:r>
    </w:p>
  </w:footnote>
  <w:footnote w:id="41">
    <w:p w:rsidR="00B83993" w:rsidRDefault="00B83993" w:rsidP="00FA7E48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secunda</w:t>
      </w:r>
      <w:r>
        <w:t xml:space="preserve">, “second bill of a set of exchange.” </w:t>
      </w:r>
      <w:r>
        <w:rPr>
          <w:rStyle w:val="Italics"/>
        </w:rPr>
        <w:t>A Dictionary of the German and English Languages</w:t>
      </w:r>
      <w:r>
        <w:t xml:space="preserve"> by G. J. Adler (New York, 1848, 1872).  Cf. the use of </w:t>
      </w:r>
      <w:r>
        <w:rPr>
          <w:rStyle w:val="Italics"/>
        </w:rPr>
        <w:t>prima</w:t>
      </w:r>
      <w:r>
        <w:t xml:space="preserve"> earlier in this document and in Document 176</w:t>
      </w:r>
      <w:r w:rsidR="00FA7E48">
        <w:t>.</w:t>
      </w:r>
    </w:p>
  </w:footnote>
  <w:footnote w:id="42">
    <w:p w:rsidR="00B83993" w:rsidRDefault="00B83993" w:rsidP="00FA7E48">
      <w:pPr>
        <w:pStyle w:val="Footnote-TwoDigit"/>
      </w:pPr>
      <w:r>
        <w:rPr>
          <w:vertAlign w:val="superscript"/>
        </w:rPr>
        <w:footnoteRef/>
      </w:r>
      <w:r>
        <w:tab/>
        <w:t>From the context here and in the following paragraph, this abbreviation seems to mean “</w:t>
      </w:r>
      <w:r>
        <w:rPr>
          <w:rStyle w:val="Italics"/>
        </w:rPr>
        <w:t>für</w:t>
      </w:r>
      <w:r>
        <w:t xml:space="preserve">,” in English “for.” The letters </w:t>
      </w:r>
      <w:r>
        <w:rPr>
          <w:rStyle w:val="Italics"/>
        </w:rPr>
        <w:t>st</w:t>
      </w:r>
      <w:r>
        <w:t xml:space="preserve"> can stand for </w:t>
      </w:r>
      <w:r>
        <w:rPr>
          <w:rStyle w:val="Italics"/>
        </w:rPr>
        <w:t>Stück or statt</w:t>
      </w:r>
      <w:r>
        <w:t xml:space="preserve">.  A less likely possibility is that it stands for the Latin </w:t>
      </w:r>
      <w:r>
        <w:rPr>
          <w:rStyle w:val="Italics"/>
        </w:rPr>
        <w:t>scilicet</w:t>
      </w:r>
      <w:r>
        <w:t>, “namely.”  However, the abbreviation is in Gothic rather than Latin letters.  See also footnotes in Documents 144 and  166, where this occurs several times</w:t>
      </w:r>
      <w:r w:rsidR="00FA7E48">
        <w:t>.</w:t>
      </w:r>
    </w:p>
  </w:footnote>
  <w:footnote w:id="43">
    <w:p w:rsidR="00B83993" w:rsidRDefault="00B83993" w:rsidP="00FA7E48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pro more</w:t>
      </w:r>
      <w:r>
        <w:t>, “for, according to the custom” (Latin)</w:t>
      </w:r>
      <w:r w:rsidR="00FA7E48">
        <w:t>.</w:t>
      </w:r>
    </w:p>
  </w:footnote>
  <w:footnote w:id="44">
    <w:p w:rsidR="00B83993" w:rsidRDefault="00B83993" w:rsidP="00FA7E48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valiren</w:t>
      </w:r>
      <w:r>
        <w:t>, “be worth, be of value” (German)</w:t>
      </w:r>
      <w:r w:rsidR="00FA7E48">
        <w:t>.</w:t>
      </w:r>
    </w:p>
  </w:footnote>
  <w:footnote w:id="45">
    <w:p w:rsidR="00B83993" w:rsidRDefault="00B83993" w:rsidP="00FA7E48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Sousdirecteur</w:t>
      </w:r>
      <w:r>
        <w:t>, “assistant directors” (French)</w:t>
      </w:r>
      <w:r w:rsidR="00FA7E48">
        <w:t>.</w:t>
      </w:r>
    </w:p>
  </w:footnote>
  <w:footnote w:id="46">
    <w:p w:rsidR="00B83993" w:rsidRDefault="00B83993" w:rsidP="00FA7E48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 meliori</w:t>
      </w:r>
      <w:r>
        <w:t>, literally, “concerning the better”  (Latin)</w:t>
      </w:r>
      <w:r w:rsidR="00FA7E48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B8399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B83993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B8399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B83993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B83993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3993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B83993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B83993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B83993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B83993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B83993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