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204, </w:t>
      </w:r>
      <w:r>
        <w:t xml:space="preserve">11 October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1222-26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October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21988" w:rsidRDefault="00E21988" w:rsidP="00E21988">
      <w:pPr>
        <w:pStyle w:val="FirstParagraph"/>
      </w:pPr>
      <w:r>
        <w:t>204.  October 11, 1711.</w:t>
      </w:r>
      <w:r>
        <w:rPr>
          <w:rStyle w:val="FootnoteReference"/>
        </w:rPr>
        <w:footnoteReference w:id="12"/>
      </w:r>
    </w:p>
    <w:p w:rsidR="00E21988" w:rsidRDefault="00E21988" w:rsidP="00E21988">
      <w:pPr>
        <w:pStyle w:val="OriginalText"/>
        <w:rPr>
          <w:sz w:val="21"/>
          <w:szCs w:val="21"/>
        </w:rPr>
      </w:pP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den 11ten [Okto]bris 1711.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 vom 13ten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, welches verhoffentlich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wohl wird einkommen, und daraus waß in dem eint-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anderen für einen Anstandt habe, des mehreren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wird zu ersehen gewesen seÿn, und weilen bis dahero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Antwort darauff erhalten, indessen aber auf die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 verflieset ohne daß in meinen Rechnungen fortfahren,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vielweniger solche einsenden kann, alß habe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hochgeehrteste herren hiermit umb eine beliebige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Antwort, und anbeÿ inständigst bitten sollen, daß Sie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mir gethanen </w:t>
      </w:r>
      <w:r>
        <w:rPr>
          <w:rStyle w:val="Italics"/>
          <w:sz w:val="21"/>
          <w:szCs w:val="21"/>
        </w:rPr>
        <w:t>obligeanten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zusage gemäß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Ihro Hochmögenden Unserer gnädigsten Herrschafft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beschehene unterthänigste Bitte durch dero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vielgültige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recommendationen</w:t>
      </w:r>
      <w:r>
        <w:rPr>
          <w:sz w:val="21"/>
          <w:szCs w:val="21"/>
        </w:rPr>
        <w:t xml:space="preserve"> auff das kräfft- und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nachtrucklichste, und solches zwaren so balden möglich,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unterstützen zu lassen großgünstig belieben mögen, weilen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dem Haag die Versicherte Nachricht erhalten, daß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dieses mein </w:t>
      </w:r>
      <w:r>
        <w:rPr>
          <w:rStyle w:val="Italics"/>
          <w:sz w:val="21"/>
          <w:szCs w:val="21"/>
        </w:rPr>
        <w:t>Petitum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nechstens zur </w:t>
      </w:r>
      <w:r>
        <w:rPr>
          <w:rStyle w:val="Italics"/>
          <w:sz w:val="21"/>
          <w:szCs w:val="21"/>
        </w:rPr>
        <w:t>deliberation</w:t>
      </w:r>
      <w:r>
        <w:rPr>
          <w:sz w:val="21"/>
          <w:szCs w:val="21"/>
        </w:rPr>
        <w:t xml:space="preserve"> werde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Worbeÿ M[eine] h[och] g[eehrte] herren ferners andienen sollen, daß von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den Bericht empfangen, daß ein gewisser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Hans, in Aschpy (Aspi)"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Gärber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dem Aspi kilchhöhrÿ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Langnauw ein </w:t>
      </w:r>
      <w:r>
        <w:rPr>
          <w:rStyle w:val="Italics"/>
          <w:sz w:val="21"/>
          <w:szCs w:val="21"/>
        </w:rPr>
        <w:t>renomirter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Almoßner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denen Täufferen der so genanten untern- oder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Leÿstischen Gemeind, und so nach dem Lehrer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Peter (\"Trub Peter\")"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Habhegger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Ludwig:vexations with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fürnehmsten Uhrhebern gewesen, daß die Täuffer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Gemeind M[eine] h[och] g[eehrte] herren und anderer so Christ-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Brüderlichen und liebreichen Begehren so gar keine statt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gegeben, sondern auff ihrem eigenen Sinn und Meÿnung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bestehen blieben und also die Obrigkeit zu Bern zum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äusersten zorn gereitzet, vor etwas zeits in dem Land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und nacher Bern in eine scharffe Gefängnus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gebracht, </w:t>
      </w:r>
      <w:r>
        <w:rPr>
          <w:rStyle w:val="Italics"/>
          <w:sz w:val="21"/>
          <w:szCs w:val="21"/>
        </w:rPr>
        <w:t>examiniret</w:t>
      </w:r>
      <w:r>
        <w:rPr>
          <w:sz w:val="21"/>
          <w:szCs w:val="21"/>
        </w:rPr>
        <w:t xml:space="preserve">, und sein </w:t>
      </w:r>
      <w:r>
        <w:rPr>
          <w:rStyle w:val="Italics"/>
          <w:sz w:val="21"/>
          <w:szCs w:val="21"/>
        </w:rPr>
        <w:t>Proces</w:t>
      </w:r>
      <w:r>
        <w:rPr>
          <w:sz w:val="21"/>
          <w:szCs w:val="21"/>
        </w:rPr>
        <w:t xml:space="preserve"> von der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Rath gebracht worden, allwo es dann dreÿerleÿ </w:t>
      </w:r>
      <w:r>
        <w:rPr>
          <w:rStyle w:val="Italics"/>
          <w:sz w:val="21"/>
          <w:szCs w:val="21"/>
        </w:rPr>
        <w:t>vota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nemblichen zum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"death threats"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Todt, zur ewigen Gefangenschafft und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 xml:space="preserve"> abgegeben, der endliche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außsprüch selbsten aber bis nach </w:t>
      </w:r>
      <w:r>
        <w:rPr>
          <w:rStyle w:val="Italics"/>
          <w:sz w:val="21"/>
          <w:szCs w:val="21"/>
        </w:rPr>
        <w:t>Martini</w:t>
      </w:r>
      <w:r>
        <w:rPr>
          <w:sz w:val="21"/>
          <w:szCs w:val="21"/>
        </w:rPr>
        <w:t xml:space="preserve"> ausgestellet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da ihme dann von diesen dreÿen Straffen die einte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ohnfehlbahr zu erkandt, Er aber indessen in Eisen und Banden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auffbehalten  werden solle.  Worbeÿ mann mich dann ferners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Versicheret, daß ein lobl[iche]r Standt die gewisse Nachricht habe,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von denen letzthin hinweggesandten und unterwegens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enttrunnenen Emmethalern sich einige wieder das so scharffe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Obrigkeitliche Verbott auch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wiederumb in das Land geschlichen,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dannenhero der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den gemessenen Befehhle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ertheilet daß mann solch </w:t>
      </w:r>
      <w:r>
        <w:rPr>
          <w:rStyle w:val="Italics"/>
          <w:sz w:val="21"/>
          <w:szCs w:val="21"/>
        </w:rPr>
        <w:t>quovis modo</w:t>
      </w:r>
      <w:r>
        <w:rPr>
          <w:rStyle w:val="FootnoteReference"/>
          <w:sz w:val="21"/>
          <w:szCs w:val="21"/>
        </w:rPr>
        <w:footnoteReference w:id="19"/>
      </w:r>
      <w:r>
        <w:rPr>
          <w:sz w:val="21"/>
          <w:szCs w:val="21"/>
        </w:rPr>
        <w:t xml:space="preserve"> zur hand zu bringen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trachten solle, welches, wann es geschicht, denenselben über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allemaßen übel außschlagen, auch die hohe Lands Obrigkeit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gegen diese armseelige Menschen je langer je mehr erbitteren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den Unschuldigen mit dem schuldigen in das äuserste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Unglück bringen dörffte.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habe auch schon zum zweÿtenmahl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geschrieben aber niemahlen keine Antwort erhalten, welches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nebst allen anderen Freündten nicht wenig verwunderet.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da jedermann begierig zu vernehmen wie es denen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Oberländern gehe, wo Sie Sich befindten und wie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sich solche ausgetheilet?  Demselben wolle mann dieses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unbeschwerd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und zugleich auch wissen lassen, daß derjenige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aus der Täuffer Cammer, so Ihme jederzeit am meisten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wieder gewesen, nemblich H[err]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"Graffenried, Albrecht von"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Graffenried Alt Schultheis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Thun vor ungefehr 4 Wochen sich von seinem Hauß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"Milden"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Milden in Welschland unversehens zu todt gefallen und 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halß gebrochen.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Wormit nebst allseitiger Erlasung in Gottes, starcken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gnaden Schutz auch schönster meiner und der meinigen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Empfehlung in dero andächtiges Gebett stetshin verharre.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21988" w:rsidP="00E21988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21988" w:rsidRDefault="00E21988" w:rsidP="00E2198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204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1352 from the De Hoop Scheffer </w:t>
      </w:r>
      <w:r>
        <w:rPr>
          <w:rStyle w:val="Italics"/>
        </w:rPr>
        <w:t>Inventaris</w:t>
      </w:r>
      <w:r>
        <w:t>.</w:t>
      </w:r>
    </w:p>
    <w:p w:rsidR="00E21988" w:rsidRDefault="00E21988" w:rsidP="00E21988">
      <w:pPr>
        <w:pStyle w:val="FootnoteText"/>
      </w:pPr>
    </w:p>
  </w:footnote>
  <w:footnote w:id="4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21988" w:rsidRDefault="00E21988" w:rsidP="00E21988">
      <w:pPr>
        <w:pStyle w:val="Footnote-OneDigit"/>
      </w:pPr>
    </w:p>
  </w:footnote>
  <w:footnote w:id="5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E21988" w:rsidRDefault="00E21988" w:rsidP="00E21988">
      <w:pPr>
        <w:pStyle w:val="Footnote-OneDigit"/>
      </w:pPr>
    </w:p>
  </w:footnote>
  <w:footnote w:id="6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Petitum</w:t>
      </w:r>
      <w:r>
        <w:t>, “request” (Latin).</w:t>
      </w:r>
    </w:p>
    <w:p w:rsidR="00E21988" w:rsidRDefault="00E21988" w:rsidP="00E21988">
      <w:pPr>
        <w:pStyle w:val="Footnote-OneDigit"/>
      </w:pPr>
    </w:p>
  </w:footnote>
  <w:footnote w:id="7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renommiert</w:t>
      </w:r>
      <w:r>
        <w:t>, “well-known” (German).</w:t>
      </w:r>
    </w:p>
    <w:p w:rsidR="00E21988" w:rsidRDefault="00E21988" w:rsidP="00E21988">
      <w:pPr>
        <w:pStyle w:val="Footnote-OneDigit"/>
      </w:pPr>
    </w:p>
  </w:footnote>
  <w:footnote w:id="8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Almoßner = Almosenier</w:t>
      </w:r>
      <w:r>
        <w:t>, “deacon” (French, German).</w:t>
      </w:r>
    </w:p>
    <w:p w:rsidR="00E21988" w:rsidRDefault="00E21988" w:rsidP="00E21988">
      <w:pPr>
        <w:pStyle w:val="Footnote-OneDigit"/>
      </w:pPr>
    </w:p>
  </w:footnote>
  <w:footnote w:id="9">
    <w:p w:rsidR="00E21988" w:rsidRDefault="00E21988" w:rsidP="00E2198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vota</w:t>
      </w:r>
      <w:r>
        <w:t>, “opinions, judgments” (Latin plural).</w:t>
      </w:r>
    </w:p>
    <w:p w:rsidR="00E21988" w:rsidRDefault="00E21988" w:rsidP="00E21988">
      <w:pPr>
        <w:pStyle w:val="FirstFootnoteinColumnLine"/>
      </w:pPr>
    </w:p>
  </w:footnote>
  <w:footnote w:id="10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modo</w:t>
      </w:r>
      <w:r>
        <w:t>, “in any manner” (Latin).</w:t>
      </w:r>
    </w:p>
    <w:p w:rsidR="00E21988" w:rsidRDefault="00E21988" w:rsidP="00E21988">
      <w:pPr>
        <w:pStyle w:val="Footnote-OneDigit"/>
      </w:pPr>
    </w:p>
  </w:footnote>
  <w:footnote w:id="11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“causing no inconvenience.”</w:t>
      </w:r>
    </w:p>
    <w:p w:rsidR="00E21988" w:rsidRDefault="00E21988" w:rsidP="00E21988">
      <w:pPr>
        <w:pStyle w:val="Footnote-OneDigit"/>
      </w:pPr>
    </w:p>
  </w:footnote>
  <w:footnote w:id="12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 w:rsidR="00E87CE7">
        <w:rPr>
          <w:rStyle w:val="ChapterNumberforFootnote"/>
        </w:rPr>
        <w:t xml:space="preserve"> </w:t>
      </w:r>
      <w:r>
        <w:t xml:space="preserve">This is A 1352 from the De Hoop Scheffer </w:t>
      </w:r>
      <w:r>
        <w:rPr>
          <w:rStyle w:val="Italics"/>
        </w:rPr>
        <w:t>Inventaris</w:t>
      </w:r>
      <w:r w:rsidR="00E87CE7">
        <w:t>.</w:t>
      </w:r>
    </w:p>
  </w:footnote>
  <w:footnote w:id="13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E87CE7">
        <w:t>.</w:t>
      </w:r>
    </w:p>
  </w:footnote>
  <w:footnote w:id="14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</w:t>
      </w:r>
      <w:r w:rsidR="00E87CE7">
        <w:t>.</w:t>
      </w:r>
    </w:p>
  </w:footnote>
  <w:footnote w:id="15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Petitum</w:t>
      </w:r>
      <w:r>
        <w:t>, “request” (Latin)</w:t>
      </w:r>
      <w:r w:rsidR="00E87CE7">
        <w:t>.</w:t>
      </w:r>
    </w:p>
  </w:footnote>
  <w:footnote w:id="16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renommiert</w:t>
      </w:r>
      <w:r>
        <w:t>, “well-known” (German)</w:t>
      </w:r>
      <w:r w:rsidR="00E87CE7">
        <w:t>.</w:t>
      </w:r>
    </w:p>
  </w:footnote>
  <w:footnote w:id="17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Almoßner = Almosenier</w:t>
      </w:r>
      <w:r>
        <w:t>, “deacon” (French, German)</w:t>
      </w:r>
      <w:r w:rsidR="00E87CE7">
        <w:t>.</w:t>
      </w:r>
    </w:p>
  </w:footnote>
  <w:footnote w:id="18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vota</w:t>
      </w:r>
      <w:r>
        <w:t>, “opinions, judgments” (Latin plural)</w:t>
      </w:r>
      <w:r w:rsidR="00E87CE7">
        <w:t>.</w:t>
      </w:r>
    </w:p>
  </w:footnote>
  <w:footnote w:id="19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modo</w:t>
      </w:r>
      <w:r>
        <w:t>, “in any manner” (Latin)</w:t>
      </w:r>
      <w:r w:rsidR="00E87CE7">
        <w:t>.</w:t>
      </w:r>
    </w:p>
  </w:footnote>
  <w:footnote w:id="20">
    <w:p w:rsidR="00E21988" w:rsidRDefault="00E21988" w:rsidP="00E87CE7">
      <w:pPr>
        <w:pStyle w:val="Footnote-OneDigit"/>
      </w:pPr>
      <w:r>
        <w:rPr>
          <w:vertAlign w:val="superscript"/>
        </w:rPr>
        <w:footnoteRef/>
      </w:r>
      <w:r>
        <w:tab/>
        <w:t>“causing no inconvenience</w:t>
      </w:r>
      <w:r w:rsidR="00E87CE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2198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2198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2198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198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2198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2198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2198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