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216, </w:t>
      </w:r>
      <w:r>
        <w:t xml:space="preserve">17 December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1338-42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December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[Schijn, Doctor Hermannus]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North HollandNetherlands]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33C3C" w:rsidRDefault="00733C3C" w:rsidP="00733C3C">
      <w:pPr>
        <w:pStyle w:val="FirstParagraph"/>
      </w:pPr>
      <w:r>
        <w:t>216.  December 17, 1711.</w:t>
      </w:r>
      <w:r>
        <w:rPr>
          <w:rStyle w:val="FootnoteReference"/>
        </w:rPr>
        <w:footnoteReference w:id="10"/>
      </w:r>
    </w:p>
    <w:p w:rsidR="00733C3C" w:rsidRDefault="00733C3C" w:rsidP="00733C3C">
      <w:pPr>
        <w:pStyle w:val="OriginalText"/>
        <w:rPr>
          <w:sz w:val="18"/>
          <w:szCs w:val="18"/>
        </w:rPr>
      </w:pP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den 17ten Xbris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1711.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Wohl Edler etc.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 insonders hochgeehrter Herr.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 letzteres an sambtliche Herren Committirde war vom 3ten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, welches mit denen beygeschlossenen Rechnungen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verhoffentlich wohl wird eingekommen seyn.  Seit deme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habe die Ehre gehabt meines hochgeehrten herren sehr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angenehmes vom 10 Aug[ust] letzthin mit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Ludwig:wants to distribute Mennonite writings"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beygefügten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25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"Zedige Verantwoording der Mennoniten"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Exemplarien</w:t>
      </w:r>
      <w:r>
        <w:rPr>
          <w:sz w:val="18"/>
          <w:szCs w:val="18"/>
        </w:rPr>
        <w:t xml:space="preserve"> des von demselben ans licht gegebenen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sehr </w:t>
      </w:r>
      <w:r>
        <w:rPr>
          <w:rStyle w:val="Italics"/>
          <w:sz w:val="18"/>
          <w:szCs w:val="18"/>
        </w:rPr>
        <w:t>curieusen</w:t>
      </w:r>
      <w:r>
        <w:rPr>
          <w:sz w:val="18"/>
          <w:szCs w:val="18"/>
        </w:rPr>
        <w:t xml:space="preserve"> Tractätleins, wie auch den 5 </w:t>
      </w:r>
      <w:r>
        <w:rPr>
          <w:rStyle w:val="Italics"/>
          <w:sz w:val="18"/>
          <w:szCs w:val="18"/>
        </w:rPr>
        <w:t>Exemplarien</w:t>
      </w:r>
      <w:r>
        <w:rPr>
          <w:sz w:val="18"/>
          <w:szCs w:val="18"/>
        </w:rPr>
        <w:t xml:space="preserve"> des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"Roosen, Gerrit"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Gerhard Rosens</w:t>
      </w:r>
      <w:r>
        <w:rPr>
          <w:sz w:val="18"/>
          <w:szCs w:val="18"/>
        </w:rPr>
        <w:t xml:space="preserve"> herausgegebenen Büchleins, über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Bern wohl conditionirt</w:t>
      </w:r>
      <w:r>
        <w:rPr>
          <w:rStyle w:val="FootnoteReference"/>
          <w:sz w:val="18"/>
          <w:szCs w:val="18"/>
        </w:rPr>
        <w:footnoteReference w:id="13"/>
      </w:r>
      <w:r>
        <w:rPr>
          <w:sz w:val="18"/>
          <w:szCs w:val="18"/>
        </w:rPr>
        <w:t xml:space="preserve"> zu empfangen.  Wie nun so wohl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wegen des einten alß anderen Meinem Hochgeehrten Herren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höchstens obligiret verbleibe, also habe auch nicht ermanglet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beÿde Tractätlein mit höchsten </w:t>
      </w:r>
      <w:r>
        <w:rPr>
          <w:rStyle w:val="Italics"/>
          <w:sz w:val="18"/>
          <w:szCs w:val="18"/>
        </w:rPr>
        <w:t>attention</w:t>
      </w:r>
      <w:r>
        <w:rPr>
          <w:sz w:val="18"/>
          <w:szCs w:val="18"/>
        </w:rPr>
        <w:t xml:space="preserve"> durch zu lesen,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das eint und andere zu meiner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Ludwig:sympathy for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nicht geringen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Erbawung daraus zu remarquiren, von hertzen wünschende,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solche allenthalben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aber zu Bern, gleichen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effect thun mögten, welches etwann zu hoffen seÿn dörffte,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fals M[eines] h[och] [geehrten] herren sehr </w:t>
      </w:r>
      <w:r>
        <w:rPr>
          <w:rStyle w:val="Italics"/>
          <w:sz w:val="18"/>
          <w:szCs w:val="18"/>
        </w:rPr>
        <w:t>judicieuses</w:t>
      </w:r>
      <w:r>
        <w:rPr>
          <w:rStyle w:val="FootnoteReference"/>
          <w:sz w:val="18"/>
          <w:szCs w:val="18"/>
        </w:rPr>
        <w:footnoteReference w:id="14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"Unschuld und Gegen-bericht"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Büchlein auch in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hochteutsche gebracht würde, weilen das Niederteütsche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hierzuland meistens unbekandt oder auffs minste sehr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wenig </w:t>
      </w:r>
      <w:r>
        <w:rPr>
          <w:rStyle w:val="Italics"/>
          <w:sz w:val="18"/>
          <w:szCs w:val="18"/>
        </w:rPr>
        <w:t>in usu</w:t>
      </w:r>
      <w:r>
        <w:rPr>
          <w:sz w:val="18"/>
          <w:szCs w:val="18"/>
        </w:rPr>
        <w:t xml:space="preserve">, und dannenhero auch ziemblich frembt ist.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Jedennoch werde nicht unterlassen beÿ gelegenheit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eint und andere </w:t>
      </w:r>
      <w:r>
        <w:rPr>
          <w:rStyle w:val="Italics"/>
          <w:sz w:val="18"/>
          <w:szCs w:val="18"/>
        </w:rPr>
        <w:t>Exemplar</w:t>
      </w:r>
      <w:r>
        <w:rPr>
          <w:sz w:val="18"/>
          <w:szCs w:val="18"/>
        </w:rPr>
        <w:t xml:space="preserve"> an gute Freünde zu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communiciren, welche solche dann schon ferners bekandt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machen werden:  Dessen ohnerachtet aber und weilen der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Mennonitten </w:t>
      </w:r>
      <w:r>
        <w:rPr>
          <w:rStyle w:val="Italics"/>
          <w:sz w:val="18"/>
          <w:szCs w:val="18"/>
        </w:rPr>
        <w:t>Religion</w:t>
      </w:r>
      <w:r>
        <w:rPr>
          <w:sz w:val="18"/>
          <w:szCs w:val="18"/>
        </w:rPr>
        <w:t xml:space="preserve"> in Teutschland und von Teutschen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 dem falschen </w:t>
      </w:r>
      <w:r>
        <w:rPr>
          <w:rStyle w:val="Italics"/>
          <w:sz w:val="18"/>
          <w:szCs w:val="18"/>
        </w:rPr>
        <w:t>praejudicio</w:t>
      </w:r>
      <w:r>
        <w:rPr>
          <w:sz w:val="18"/>
          <w:szCs w:val="18"/>
        </w:rPr>
        <w:t xml:space="preserve">, als wann solche von denen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"Müntzerites"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Müntzer oder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"Münsterites"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Münsterichen schwermereÿen herstamen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mit solcher überein stimmen thäte, die meisten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Anstoß leidet, so hielte dennoch unmaßgeblich darvor,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es nicht undienlich seÿn solte, wann M[eines] h[och] g[eehrte] herren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Tractätlein auch ins hochteutsche übersetze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allenthalben gemein gemacht wurde, damit sothanem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Vorurtheil, und denen der zarten Jugend von kindsbeinen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an gegen die Tauffer  eingepfantzten praventionen</w:t>
      </w:r>
      <w:r>
        <w:rPr>
          <w:rStyle w:val="FootnoteReference"/>
          <w:sz w:val="18"/>
          <w:szCs w:val="18"/>
        </w:rPr>
        <w:footnoteReference w:id="15"/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dermahleneins der Riegel gestoßen werde.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einmahlen eingenommene Gemuther, werden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ohne eine sonderbahre Gnade Gotters ihren gefaßten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Wahn schwerlich mehr fahren lassen, sondern auch wieder ihr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besser Wissen und Gewissen </w:t>
      </w:r>
      <w:r>
        <w:rPr>
          <w:rStyle w:val="Italics"/>
          <w:sz w:val="18"/>
          <w:szCs w:val="18"/>
        </w:rPr>
        <w:t>pertinacissim</w:t>
      </w:r>
      <w:r>
        <w:rPr>
          <w:rStyle w:val="Italics"/>
          <w:rFonts w:ascii="Minion Pro" w:hAnsi="Minion Pro" w:cs="Minion Pro"/>
          <w:i w:val="0"/>
          <w:iCs w:val="0"/>
          <w:sz w:val="18"/>
          <w:szCs w:val="18"/>
        </w:rPr>
        <w:t>ē</w:t>
      </w:r>
      <w:r>
        <w:rPr>
          <w:rStyle w:val="FootnoteReference"/>
          <w:sz w:val="18"/>
          <w:szCs w:val="18"/>
        </w:rPr>
        <w:footnoteReference w:id="16"/>
      </w:r>
      <w:r>
        <w:rPr>
          <w:sz w:val="18"/>
          <w:szCs w:val="18"/>
        </w:rPr>
        <w:t xml:space="preserve"> darauff-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beharren, dannenhero auff dieselbe auch so viel nicht alß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die Nachköminge </w:t>
      </w:r>
      <w:r>
        <w:rPr>
          <w:rStyle w:val="Italics"/>
          <w:sz w:val="18"/>
          <w:szCs w:val="18"/>
        </w:rPr>
        <w:t>in hoc tertio</w:t>
      </w:r>
      <w:r>
        <w:rPr>
          <w:sz w:val="18"/>
          <w:szCs w:val="18"/>
        </w:rPr>
        <w:t xml:space="preserve"> zu reflectiren,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dannenhero zu trachten wie solche für einem so schädlichen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praejudicio</w:t>
      </w:r>
      <w:r>
        <w:rPr>
          <w:sz w:val="18"/>
          <w:szCs w:val="18"/>
        </w:rPr>
        <w:t xml:space="preserve"> mit der Hülft Gottes behüthet werden möge, dann </w:t>
      </w:r>
    </w:p>
    <w:p w:rsidR="00733C3C" w:rsidRDefault="00733C3C" w:rsidP="00733C3C">
      <w:pPr>
        <w:pStyle w:val="OriginalText"/>
        <w:rPr>
          <w:rStyle w:val="Italics"/>
          <w:sz w:val="18"/>
          <w:szCs w:val="18"/>
        </w:rPr>
      </w:pPr>
      <w:r>
        <w:rPr>
          <w:sz w:val="18"/>
          <w:szCs w:val="18"/>
        </w:rPr>
        <w:t xml:space="preserve">[Seite 3] </w:t>
      </w:r>
      <w:r>
        <w:rPr>
          <w:rStyle w:val="Italics"/>
          <w:sz w:val="18"/>
          <w:szCs w:val="18"/>
        </w:rPr>
        <w:t>Qua semel est imbuta recens servabit odorem</w:t>
      </w:r>
    </w:p>
    <w:p w:rsidR="00733C3C" w:rsidRDefault="00733C3C" w:rsidP="00733C3C">
      <w:pPr>
        <w:pStyle w:val="OriginalText"/>
        <w:tabs>
          <w:tab w:val="left" w:pos="1760"/>
        </w:tabs>
        <w:rPr>
          <w:rStyle w:val="Italics"/>
          <w:sz w:val="18"/>
          <w:szCs w:val="18"/>
        </w:rPr>
      </w:pPr>
      <w:r>
        <w:rPr>
          <w:rStyle w:val="Italics"/>
          <w:sz w:val="18"/>
          <w:szCs w:val="18"/>
        </w:rPr>
        <w:tab/>
        <w:t>Testa di</w:t>
      </w:r>
      <w:r>
        <w:rPr>
          <w:rStyle w:val="Italics"/>
          <w:rFonts w:ascii="Minion Pro" w:hAnsi="Minion Pro" w:cs="Minion Pro"/>
          <w:sz w:val="18"/>
          <w:szCs w:val="18"/>
        </w:rPr>
        <w:t>ū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Übrigens finde meines hochgeehrten Herren machende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sehr judiciose Reflexiones über dasjenige so zu Bern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passiret, der mir selbsten über diese Sache formirten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Idee gantz gemäß, habe auch datâ occasione nicht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ermanglet meine dis fals hegende Sentiments beÿ eint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anderen Herren ungeschewet an tag zu legen,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weilen Sie mir mit anders nichts alß mit einem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schulter hupffen zu antworten gewüßt, alß bin in meiner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anfänglich gefassten meinung, daß mann nembliche von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Seiten Bern, falß die Sache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Ludwig:as diplomat"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nicht schon so weit wäre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gekommen gewesen und mann dannenhero nicht so wohl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mehr auff die billichkeit und </w:t>
      </w:r>
      <w:r>
        <w:rPr>
          <w:rStyle w:val="Italics"/>
          <w:sz w:val="18"/>
          <w:szCs w:val="18"/>
        </w:rPr>
        <w:t>Convenientz</w:t>
      </w:r>
      <w:r>
        <w:rPr>
          <w:sz w:val="18"/>
          <w:szCs w:val="18"/>
        </w:rPr>
        <w:t xml:space="preserve"> alß aber auff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</w:t>
      </w:r>
      <w:r>
        <w:rPr>
          <w:rStyle w:val="Italics"/>
          <w:sz w:val="18"/>
          <w:szCs w:val="18"/>
        </w:rPr>
        <w:t>point d’honneur</w:t>
      </w:r>
      <w:r>
        <w:rPr>
          <w:sz w:val="18"/>
          <w:szCs w:val="18"/>
        </w:rPr>
        <w:t xml:space="preserve">, Reputation und Obrigkeitliches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Ansehen reflectiren müssten, gewißlich gantz anderst in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dieser sach wurde Verfahren seÿn als geschehen,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of:officials"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mächtig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befestiget und gesteiffet worden, glaube dannenhero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festiglich, daß, wann die arme getruckt  und verfolgte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Täuffer in dem Bern-Gebieth sich beÿ letztenem so schönen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Anlaß hätten resolvieren können denen so liebreich alß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wohlmeinenden Vorschlägen und Representationen statt zu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geben, und, umb ihre natürliche Obrigkeit zu vergnüngen,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dem Land zu weichen bis ihre Verfolgere und </w:t>
      </w:r>
      <w:r>
        <w:rPr>
          <w:rStyle w:val="Italics"/>
          <w:sz w:val="18"/>
          <w:szCs w:val="18"/>
        </w:rPr>
        <w:t>Herodes</w:t>
      </w:r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etwann gestorben, oder bis Gott ihre steinerne Hertzen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in fleischerne verwandelt oder sonsten fürsehung gethan, daß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solchen fals ehe und bevor 10 Jahr vorflossen, der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Verfolgungs-Geist mit der hülff des Allerhöchsten Gäntzlichen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wurde erloschen seÿn und auffgehöhret haben, da Ich um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im gegentheil und beÿ so beschaffenen Sachen vielmehr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contrarium</w:t>
      </w:r>
      <w:r>
        <w:rPr>
          <w:sz w:val="18"/>
          <w:szCs w:val="18"/>
        </w:rPr>
        <w:t xml:space="preserve"> von hertzen förchte auch mir anderst nicht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einbilden kann, alß daß Gott einerseits die liebe, die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gedult und die Vertragsamkeit der herren von Bern,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derer seits aber die auffharrende gedult, die Standt-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hafftigkeit und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"Gelassenheit (lijdsaamheyt)"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gelaßenheit der armen Tauffer noch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länger auff die probe stellen und sie also zu beÿden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theilen noch ferners bewähren wolle.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Seit meinen letzteren habe von denen zu Bern 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auffs newe gefangenen Täufferen nichts vernommen: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vormahlen vormeldete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Stauffer aber ist seithero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seinem Weib und dreÿen söhnen hierdurch und nacher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Mannheim zu dem Benedict Brächtbüel gereiset, umb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 obgeschwebten gefahr zu entrinnen.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nebst allseitiger Göttlicher Schutz-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Erlasung, schönster meiner und der meinigen empfahlung in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M[eine] h[och] g[eehrten] herren andächtiges gebett auch </w:t>
      </w:r>
      <w:r>
        <w:rPr>
          <w:rStyle w:val="Italics"/>
          <w:sz w:val="18"/>
          <w:szCs w:val="18"/>
        </w:rPr>
        <w:t>cordialer</w:t>
      </w:r>
      <w:r>
        <w:rPr>
          <w:sz w:val="18"/>
          <w:szCs w:val="18"/>
        </w:rPr>
        <w:t xml:space="preserve"> begrüsung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der ubrigen herren Committirden stetshin bin und Verbleibe.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Meines hochgeehrten herren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733C3C" w:rsidP="00733C3C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33C3C" w:rsidRDefault="00733C3C" w:rsidP="00733C3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216</w:t>
      </w:r>
      <w:r>
        <w:tab/>
      </w:r>
      <w:r>
        <w:rPr>
          <w:rStyle w:val="FootnoteReference"/>
        </w:rPr>
        <w:tab/>
      </w:r>
      <w:r>
        <w:t xml:space="preserve">This is A 1357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733C3C" w:rsidRDefault="00733C3C" w:rsidP="00733C3C">
      <w:pPr>
        <w:pStyle w:val="FootnoteText"/>
      </w:pPr>
    </w:p>
  </w:footnote>
  <w:footnote w:id="4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733C3C" w:rsidRDefault="00733C3C" w:rsidP="00733C3C">
      <w:pPr>
        <w:pStyle w:val="Footnote-OneDigit"/>
      </w:pPr>
    </w:p>
  </w:footnote>
  <w:footnote w:id="5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 xml:space="preserve">X = </w:t>
      </w:r>
      <w:proofErr w:type="spellStart"/>
      <w:r>
        <w:t>decem</w:t>
      </w:r>
      <w:proofErr w:type="spellEnd"/>
      <w:r>
        <w:t xml:space="preserve"> (Latin).</w:t>
      </w:r>
    </w:p>
    <w:p w:rsidR="00733C3C" w:rsidRDefault="00733C3C" w:rsidP="00733C3C">
      <w:pPr>
        <w:pStyle w:val="Footnote-OneDigit"/>
      </w:pPr>
    </w:p>
  </w:footnote>
  <w:footnote w:id="6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beschaffen</w:t>
      </w:r>
      <w:proofErr w:type="spellEnd"/>
      <w:r>
        <w:t xml:space="preserve">, </w:t>
      </w:r>
      <w:proofErr w:type="spellStart"/>
      <w:r>
        <w:t>erhalten</w:t>
      </w:r>
      <w:proofErr w:type="spellEnd"/>
      <w:r>
        <w:t>.”</w:t>
      </w:r>
    </w:p>
    <w:p w:rsidR="00733C3C" w:rsidRDefault="00733C3C" w:rsidP="00733C3C">
      <w:pPr>
        <w:pStyle w:val="Footnote-OneDigit"/>
      </w:pPr>
    </w:p>
  </w:footnote>
  <w:footnote w:id="7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Runckel</w:t>
      </w:r>
      <w:proofErr w:type="spellEnd"/>
      <w:r>
        <w:t xml:space="preserve"> seems to be using the French word, </w:t>
      </w:r>
      <w:proofErr w:type="spellStart"/>
      <w:r>
        <w:rPr>
          <w:rStyle w:val="Italics"/>
        </w:rPr>
        <w:t>judicieuse</w:t>
      </w:r>
      <w:proofErr w:type="spellEnd"/>
      <w:r>
        <w:t>, meaning “judicious, discerning,” with a German ending.</w:t>
      </w:r>
    </w:p>
    <w:p w:rsidR="00733C3C" w:rsidRDefault="00733C3C" w:rsidP="00733C3C">
      <w:pPr>
        <w:pStyle w:val="Footnote-OneDigit"/>
      </w:pPr>
    </w:p>
  </w:footnote>
  <w:footnote w:id="8">
    <w:p w:rsidR="00733C3C" w:rsidRDefault="00733C3C" w:rsidP="00733C3C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prävention</w:t>
      </w:r>
      <w:proofErr w:type="spellEnd"/>
      <w:r>
        <w:t>, “prevention, hindrance” (German from French).</w:t>
      </w:r>
    </w:p>
    <w:p w:rsidR="00733C3C" w:rsidRDefault="00733C3C" w:rsidP="00733C3C">
      <w:pPr>
        <w:pStyle w:val="FirstFootnoteinColumnLine"/>
      </w:pPr>
    </w:p>
  </w:footnote>
  <w:footnote w:id="9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pertinaciter</w:t>
      </w:r>
      <w:proofErr w:type="spellEnd"/>
      <w:r>
        <w:t xml:space="preserve"> “tenaciously, stubbornly” (Latin).</w:t>
      </w:r>
    </w:p>
    <w:p w:rsidR="00733C3C" w:rsidRDefault="00733C3C" w:rsidP="00733C3C">
      <w:pPr>
        <w:pStyle w:val="Footnote-OneDigit"/>
      </w:pPr>
    </w:p>
  </w:footnote>
  <w:footnote w:id="10">
    <w:p w:rsidR="00733C3C" w:rsidRDefault="00733C3C" w:rsidP="0022501B">
      <w:pPr>
        <w:pStyle w:val="Footnote-OneDigit"/>
      </w:pPr>
      <w:r>
        <w:rPr>
          <w:vertAlign w:val="superscript"/>
        </w:rPr>
        <w:footnoteRef/>
      </w:r>
      <w:r w:rsidR="0022501B">
        <w:rPr>
          <w:rStyle w:val="ChapterNumberforFootnote"/>
        </w:rPr>
        <w:t xml:space="preserve"> </w:t>
      </w:r>
      <w:r>
        <w:t xml:space="preserve">This is A 1357 from the De Hoop Scheffer </w:t>
      </w:r>
      <w:r>
        <w:rPr>
          <w:rStyle w:val="Italics"/>
        </w:rPr>
        <w:t>Inventaris</w:t>
      </w:r>
      <w:r w:rsidR="0022501B">
        <w:t>.</w:t>
      </w:r>
    </w:p>
  </w:footnote>
  <w:footnote w:id="11">
    <w:p w:rsidR="00733C3C" w:rsidRDefault="00733C3C" w:rsidP="0022501B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22501B">
        <w:t>.</w:t>
      </w:r>
    </w:p>
  </w:footnote>
  <w:footnote w:id="12">
    <w:p w:rsidR="00733C3C" w:rsidRDefault="00733C3C" w:rsidP="0022501B">
      <w:pPr>
        <w:pStyle w:val="Footnote-OneDigit"/>
      </w:pPr>
      <w:r>
        <w:rPr>
          <w:vertAlign w:val="superscript"/>
        </w:rPr>
        <w:footnoteRef/>
      </w:r>
      <w:r>
        <w:tab/>
        <w:t>X = decem (Latin)</w:t>
      </w:r>
      <w:r w:rsidR="0022501B">
        <w:t>.</w:t>
      </w:r>
    </w:p>
  </w:footnote>
  <w:footnote w:id="13">
    <w:p w:rsidR="00733C3C" w:rsidRDefault="00733C3C" w:rsidP="0022501B">
      <w:pPr>
        <w:pStyle w:val="Footnote-OneDigit"/>
      </w:pPr>
      <w:r>
        <w:rPr>
          <w:vertAlign w:val="superscript"/>
        </w:rPr>
        <w:footnoteRef/>
      </w:r>
      <w:r>
        <w:tab/>
        <w:t>“beschaffen, erhalten</w:t>
      </w:r>
      <w:r w:rsidR="0022501B">
        <w:t>.</w:t>
      </w:r>
    </w:p>
  </w:footnote>
  <w:footnote w:id="14">
    <w:p w:rsidR="00733C3C" w:rsidRDefault="00733C3C" w:rsidP="0022501B">
      <w:pPr>
        <w:pStyle w:val="Footnote-OneDigit"/>
      </w:pPr>
      <w:r>
        <w:rPr>
          <w:vertAlign w:val="superscript"/>
        </w:rPr>
        <w:footnoteRef/>
      </w:r>
      <w:r>
        <w:tab/>
        <w:t xml:space="preserve">Runckel seems to be using the French word, </w:t>
      </w:r>
      <w:r>
        <w:rPr>
          <w:rStyle w:val="Italics"/>
        </w:rPr>
        <w:t>judicieuse</w:t>
      </w:r>
      <w:r>
        <w:t>, meaning “judicious, discerning,” with a German ending</w:t>
      </w:r>
      <w:r w:rsidR="0022501B">
        <w:t>.</w:t>
      </w:r>
    </w:p>
  </w:footnote>
  <w:footnote w:id="15">
    <w:p w:rsidR="00733C3C" w:rsidRDefault="00733C3C" w:rsidP="0022501B">
      <w:pPr>
        <w:pStyle w:val="Footnote-OneDigit"/>
      </w:pPr>
      <w:r>
        <w:rPr>
          <w:vertAlign w:val="superscript"/>
        </w:rPr>
        <w:footnoteRef/>
      </w:r>
      <w:r>
        <w:tab/>
        <w:t>prävention, “prevention, hindrance” (German from French)</w:t>
      </w:r>
      <w:r w:rsidR="0022501B">
        <w:t>.</w:t>
      </w:r>
    </w:p>
  </w:footnote>
  <w:footnote w:id="16">
    <w:p w:rsidR="00733C3C" w:rsidRDefault="00733C3C" w:rsidP="0022501B">
      <w:pPr>
        <w:pStyle w:val="Footnote-OneDigit"/>
      </w:pPr>
      <w:r>
        <w:rPr>
          <w:vertAlign w:val="superscript"/>
        </w:rPr>
        <w:footnoteRef/>
      </w:r>
      <w:r>
        <w:tab/>
        <w:t>pertinaciter “tenaciously, stubbornly” (Latin)</w:t>
      </w:r>
      <w:r w:rsidR="0022501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33C3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733C3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33C3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733C3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733C3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3C3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33C3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733C3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33C3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