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105, </w:t>
      </w:r>
      <w:r>
        <w:t xml:space="preserve">30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580-84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4417B" w:rsidRDefault="00A4417B" w:rsidP="00A4417B">
      <w:pPr>
        <w:pStyle w:val="FirstParagraph"/>
      </w:pPr>
      <w:r>
        <w:t>105.  December 30, 1710.</w:t>
      </w:r>
      <w:r>
        <w:rPr>
          <w:rStyle w:val="FootnoteReference"/>
        </w:rPr>
        <w:footnoteReference w:id="6"/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Extract uyt het Register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Resolutien van de Hoogh Mog[ende]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Heeren Staten Generaal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Vereenigde Nederlanden.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Martis den 30e  December 1710.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Praeside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 Heer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"Lier, van der,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van de Lier.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Praesentibus</w:t>
      </w:r>
      <w:r>
        <w:rPr>
          <w:sz w:val="20"/>
          <w:szCs w:val="20"/>
        </w:rPr>
        <w:tab/>
        <w:t>De Heeren van Oldersom, van Essen,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Broekhuysen, Harrevelt.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Repelaar, van den Honaart, van Dorp, de Vicq, Meerens, Raad Pensionaris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"Heinsius, Anthonie, Grand Pensionary"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Heinsius, met een Extra Ordinaris Gedeputeerde uyt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Provincie van Holland en Westvriesland.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Van Moermont, van Spanbroeck, Coninck</w:t>
      </w:r>
    </w:p>
    <w:p w:rsidR="00A4417B" w:rsidRDefault="00A4417B" w:rsidP="00A4417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>Van Schonauwen met een Extra Ord[inari]s gedeputeerde uyt de Provincie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Uytrecht.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Van Goslinga, Du Tour.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Ittersum, Ysselmuyden.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Wichers, Nyeveen.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By resumtie gedelibereert zynde op de missive van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secretaris Runckel, geschreven te Bern, den 10. deezer,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geadresseert aan de Griffier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Clerk:letter from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Fagel, houdende advertentie,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ende zendende daernevens Copye van een memorie, door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hem uyt de naam van de mennonite gemeenten deezer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Landen, aan het Loffelyke Canton van Bern door hem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overgegeven, ten eynde de mennoniten in switserland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zynde, zoo de gevangene als andere, vryheyd mogen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bekomen, om herwaarts na het gebied van den staet,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</w:rPr>
        <w:t xml:space="preserve">op kosten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Mennoniten hier te Lande, </w:t>
      </w:r>
      <w:r>
        <w:rPr>
          <w:sz w:val="20"/>
          <w:szCs w:val="20"/>
          <w:u w:val="thick"/>
        </w:rPr>
        <w:t>te mogen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werden getransporteert, om vervolgens, na haere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genegentheyd gebracht te werden na de Landen van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syne Maj[estei]t van Pruyssen, ofte andere, daer over zy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  <w:u w:val="thick"/>
        </w:rPr>
        <w:t>zullen kunnen convenieeren.</w:t>
      </w:r>
      <w:r>
        <w:rPr>
          <w:sz w:val="20"/>
          <w:szCs w:val="20"/>
        </w:rPr>
        <w:t xml:space="preserve"> Dat ten dien eynde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"edict:September 26, 1710"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publicatie den 26. September lestleden, by den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[folio 1 verso] Grooten Raad geresolveert,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ten spoedigsten moge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geschieden, waerby aan alle mennoniten, onderdaenen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van het Canton, vryheyd gegeven moge werden om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het openbaar te verschynen, ende een Competenten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tyd gegeven om haere zaeken te verrichten, ende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zich tot den aftocht gereed te maaken, ende het geen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voor haar aftocht niet gereed kan zyn, door andere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laeten verrichten, als mede, dat de gevangenen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ten spoedigsten, ten minsten by Provisie onder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handtastinge,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van zig binnen zeekeren tyd weder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sisteren,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ontslagen mogen werden.  Dat ook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gereformeerde Echtgenooten, ouders, ofte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kinderen, toegelaaten moge werden, wanneer zy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zulx begeeren, met haere Doopsgezinden, Echtge-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nooten, kinderen ende ouders, te mogen vertrekken,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ende dat aan deeze Luyden geremitteert moge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 het Recht van aftocht van de goedeeren, die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zy zullen mede neemen, breder in de voorsz[eide] memorie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vermeld.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Is goed gevonden ende verstaan, dat aen gemelte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secretaris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Ludwig:as diplomat"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Runckel zal werden gerescribeert, dat Haer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Ho[og] Mog[enden] haer laaten welgevallen ende approbeeren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het geene by hem in deezen is gedaan, ende by de voorsz[eide]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</w:rPr>
        <w:t xml:space="preserve">memorie verzocht, </w:t>
      </w:r>
      <w:r>
        <w:rPr>
          <w:sz w:val="20"/>
          <w:szCs w:val="20"/>
          <w:u w:val="thick"/>
        </w:rPr>
        <w:t>ende dat hy verder zal continueeren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alle goede devoiren aantewenden, ten eynde deeze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zaake tot een goed eynde gebracht moge werden.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ook aan het Canton van Bern de afdoeninge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deeze zaake, ende een favorabele en spoedige dispositie,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de Pointen in de voorsz[eide] memorie vervat, by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missive ten besten zal werden gerecommandeert, ende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 voorsz[eide] missive met een Copie van dien gezonden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aan gem[elde] secretaris Runckel, om den origineelen daer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het behoord over te leveren, ende den inhoude van dien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ten besten te seconderen.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Accordeert met ’t voorsz[eide] Register.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Extract uyt de resolutie van</w:t>
      </w:r>
    </w:p>
    <w:p w:rsidR="0084002E" w:rsidRDefault="00A4417B" w:rsidP="00A4417B">
      <w:pPr>
        <w:pStyle w:val="OriginalText"/>
      </w:pPr>
      <w:r>
        <w:rPr>
          <w:sz w:val="20"/>
          <w:szCs w:val="20"/>
        </w:rPr>
        <w:t>haer hoogmo[genden] jn dato 30 xber 1710.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4417B" w:rsidRDefault="00A4417B" w:rsidP="00A4417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105</w:t>
      </w:r>
      <w:r>
        <w:tab/>
      </w:r>
      <w:r>
        <w:rPr>
          <w:rStyle w:val="FootnoteReference"/>
        </w:rPr>
        <w:tab/>
      </w:r>
      <w:r>
        <w:t xml:space="preserve">This is A 1774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417B" w:rsidRDefault="00A4417B" w:rsidP="00A4417B">
      <w:pPr>
        <w:pStyle w:val="FootnoteText"/>
      </w:pPr>
    </w:p>
  </w:footnote>
  <w:footnote w:id="4">
    <w:p w:rsidR="00A4417B" w:rsidRDefault="00A4417B" w:rsidP="00A4417B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borgtocht</w:t>
      </w:r>
      <w:proofErr w:type="spellEnd"/>
      <w:r>
        <w:t>,” “security, bond, mainprize.”</w:t>
      </w:r>
    </w:p>
    <w:p w:rsidR="00A4417B" w:rsidRDefault="00A4417B" w:rsidP="00A4417B">
      <w:pPr>
        <w:pStyle w:val="FirstFootnoteinColumnLine"/>
      </w:pPr>
    </w:p>
  </w:footnote>
  <w:footnote w:id="5">
    <w:p w:rsidR="00A4417B" w:rsidRDefault="00A4417B" w:rsidP="00A4417B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sistieren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Polizeiwache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” (?) (German).</w:t>
      </w:r>
    </w:p>
    <w:p w:rsidR="00A4417B" w:rsidRDefault="00A4417B" w:rsidP="00A4417B">
      <w:pPr>
        <w:pStyle w:val="Footnote-OneDigit"/>
      </w:pPr>
    </w:p>
  </w:footnote>
  <w:footnote w:id="6">
    <w:p w:rsidR="00A4417B" w:rsidRDefault="00A4417B" w:rsidP="00C50889">
      <w:pPr>
        <w:pStyle w:val="Footnote-OneDigit"/>
      </w:pPr>
      <w:r>
        <w:rPr>
          <w:vertAlign w:val="superscript"/>
        </w:rPr>
        <w:footnoteRef/>
      </w:r>
      <w:r w:rsidR="00C50889">
        <w:rPr>
          <w:rStyle w:val="ChapterNumberforFootnote"/>
        </w:rPr>
        <w:t xml:space="preserve"> </w:t>
      </w:r>
      <w:r>
        <w:t xml:space="preserve">This is A 1774 from the De Hoop Scheffer </w:t>
      </w:r>
      <w:r>
        <w:rPr>
          <w:rStyle w:val="Italics"/>
        </w:rPr>
        <w:t>Inventaris</w:t>
      </w:r>
      <w:r w:rsidR="00C50889">
        <w:t>.</w:t>
      </w:r>
    </w:p>
  </w:footnote>
  <w:footnote w:id="7">
    <w:p w:rsidR="00A4417B" w:rsidRDefault="00A4417B" w:rsidP="00C50889">
      <w:pPr>
        <w:pStyle w:val="Footnote-OneDigit"/>
      </w:pPr>
      <w:r>
        <w:rPr>
          <w:vertAlign w:val="superscript"/>
        </w:rPr>
        <w:footnoteRef/>
      </w:r>
      <w:r>
        <w:tab/>
        <w:t>“borgtocht,” “security, bond, mainprize</w:t>
      </w:r>
      <w:r w:rsidR="00C50889">
        <w:t>.</w:t>
      </w:r>
    </w:p>
  </w:footnote>
  <w:footnote w:id="8">
    <w:p w:rsidR="00A4417B" w:rsidRDefault="00A4417B" w:rsidP="00C50889">
      <w:pPr>
        <w:pStyle w:val="Footnote-OneDigit"/>
      </w:pPr>
      <w:r>
        <w:rPr>
          <w:vertAlign w:val="superscript"/>
        </w:rPr>
        <w:footnoteRef/>
      </w:r>
      <w:r>
        <w:tab/>
        <w:t>“sistieren, zur Polizeiwache bringen” (?) (German)</w:t>
      </w:r>
      <w:r w:rsidR="00C50889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4417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4417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417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4417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4417B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A4417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4417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