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66, </w:t>
      </w:r>
      <w:r>
        <w:t xml:space="preserve">27 September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358-62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27 September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[Fagel, François]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D67AA8" w:rsidRDefault="00D67AA8" w:rsidP="00D67AA8">
      <w:pPr>
        <w:pStyle w:val="FirstParagraph"/>
      </w:pPr>
      <w:r>
        <w:t>66.  September 27, 1710.</w:t>
      </w:r>
      <w:r>
        <w:rPr>
          <w:rStyle w:val="FootnoteReference"/>
        </w:rPr>
        <w:footnoteReference w:id="5"/>
      </w:r>
    </w:p>
    <w:p w:rsidR="00D67AA8" w:rsidRDefault="00D67AA8" w:rsidP="00D67AA8">
      <w:pPr>
        <w:pStyle w:val="OriginalText"/>
        <w:rPr>
          <w:sz w:val="21"/>
          <w:szCs w:val="21"/>
        </w:rPr>
      </w:pP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D67AA8" w:rsidRDefault="00D67AA8" w:rsidP="00D67AA8">
      <w:pPr>
        <w:pStyle w:val="OriginalText"/>
        <w:rPr>
          <w:sz w:val="21"/>
          <w:szCs w:val="21"/>
        </w:rPr>
      </w:pPr>
    </w:p>
    <w:p w:rsidR="00D67AA8" w:rsidRDefault="00D67AA8" w:rsidP="00D67AA8">
      <w:pPr>
        <w:pStyle w:val="OriginalText"/>
        <w:tabs>
          <w:tab w:val="left" w:pos="3160"/>
        </w:tabs>
        <w:rPr>
          <w:sz w:val="21"/>
          <w:szCs w:val="21"/>
        </w:rPr>
      </w:pPr>
      <w:r>
        <w:rPr>
          <w:rStyle w:val="Italics"/>
          <w:sz w:val="21"/>
          <w:szCs w:val="21"/>
        </w:rPr>
        <w:t>Copie.</w:t>
      </w:r>
      <w:r>
        <w:rPr>
          <w:sz w:val="21"/>
          <w:szCs w:val="21"/>
        </w:rPr>
        <w:t xml:space="preserve"> Lit[era] B.</w:t>
      </w:r>
      <w:r>
        <w:rPr>
          <w:sz w:val="21"/>
          <w:szCs w:val="21"/>
        </w:rPr>
        <w:tab/>
        <w:t>À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Berne le 27 7bre [septembre] </w:t>
      </w:r>
      <w:r>
        <w:rPr>
          <w:rStyle w:val="Italics"/>
          <w:sz w:val="21"/>
          <w:szCs w:val="21"/>
        </w:rPr>
        <w:t>1710</w:t>
      </w:r>
      <w:r>
        <w:rPr>
          <w:sz w:val="21"/>
          <w:szCs w:val="21"/>
        </w:rPr>
        <w:t>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Monsieur.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Par ma tres humble secrette du 17 de ce Mois, je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 donnaÿ l’honneur d’informer: l’Estat tres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respectueusement de ce qui s’estoit passé au sujet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pauvres Mennonites de ce Pays icÿ jusques à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jour là, et du plan que quelques Bienintentionés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pour ces Gens avoÿent formé avec Mr. de S[ain]t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Saphorin et moÿ pour tacher de les faire rester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 Paÿs s’il est possible, ou du moins pour ne pas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faire precipiter leur depart, avant que leurs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Confreres en Hollande et à Hambourg ne leur 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aÿent trouvé une retraite assurée. Et bien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qu’en conformité de ce plan nous aÿions fait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tout notre possible pour empecher, que la 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demande de S[on] M[ajesté] le Roÿ de Prusse pour recevoir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ces Gens dans ses Estats ne soit portée au Conseil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Souverain qu’aprés le Vacances, nous n’en avons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pourtant pas pû venir à bout, puisque M[onsieu]r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l’Avoÿer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"Willading, Johann Friedrich, Chief Magistrate"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Willading la fit mettre en deliberation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hier dans le grand Conseil, et que,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Chambre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établie pour le fait des Anabaptistes ÿ aÿant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fait son rapport à cet égard tellement quellement, il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ÿ fut resolû de les faire tous passer dans les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Estats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S[on] M[ajesté] Prussienne avec permission de vendre et de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retirer leurs biens de ce Canton, moÿennant que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l’on puisse convenir avec S[on] M[ajesté] de certaines conditions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concernant leurs établissement et leur transport,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sur lesquelles on delibereroit plus meurement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apres le Vacances, ainsÿ que sur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1711:time of departure"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tems pour le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depart de ces pauvres Gens, sur l’amnestie qu’on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devra accorder tant à ceux qui se trouvent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actüellement en prison qu’aux autres qui se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trouvent disperrés par cÿ et par là, pour se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rassembler à un certain tems qu’on leur marquera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en faire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Bern:no complete listing"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Liste que S[on] M[ajesté] Prussienne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demande et afin qu’ils puissent disposer de leurs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biens, comme aussÿ sur le tems qu’on pourroit leur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accorder pour la vente des terres qu’ils possedent, etc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Il ÿ fut de plus resolû qu’en attendant 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repondroit aux propositions faites de la part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S[on] M[ajesté] Prussienne, et qu’on luÿ feroit en meme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temps part de ces dites resolutions., etc.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Les Bienintentionnés voÿant que cette affaire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prennoit un train à peu prés conforme à notre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plan, et jugeant qu’en pareilles choses il ÿ avoit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tousjours de l’avantage en gagnant du tems, n’ont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trouvé à propos de faire naitre des difficultés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à cet egard, mais bien de faire connoitre au Conseil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Souverain, qu’il n’estoit pas assés que de vouloir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purger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Church:unspiritual clergy"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Paÿs des Heterodoxes qu’il ÿ pourroit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avoir, si en meme tems on ne prennoit aussy la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resolution de faire tarir les sources de ces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Heterodoxies, et ces remonstrances ont esté faites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avec toute la fermeté imaginable, si bien que non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seulement les Pasteurs, mais aussÿ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of:Small Council (Senate)"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Senat, qui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les nomme et qui les établit ÿ ont esté si bien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drappés, qu’íls s’en souviendront longtems, et qu’ils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perdront à coup seur une bonne partie de cet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esprit persecuteur qui les a fait agir jusques icÿ.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J’espere que l’ordinaire prochain je me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trouveraÿ en estat de communiquer tres respectueuse-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ment en forme et les propositions de S[on] M[ajesté]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Prussienne pour recevoir les pauvres Mennonites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ce Canton dans ses Estats, et la resolution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ce meme Canton prise à cet egard hier.</w:t>
      </w:r>
    </w:p>
    <w:p w:rsidR="00D67AA8" w:rsidRDefault="00D67AA8" w:rsidP="00D67AA8">
      <w:pPr>
        <w:pStyle w:val="OriginalText"/>
        <w:rPr>
          <w:sz w:val="21"/>
          <w:szCs w:val="21"/>
        </w:rPr>
      </w:pP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P.S.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Dans ce moment on vient me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communiquer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resolution de LL.EE. [Leurs Honorables?]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Berne, dont j’aÿ l’honneur de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joindre encore icÿ la Copie.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verso]</w:t>
      </w:r>
    </w:p>
    <w:p w:rsidR="0084002E" w:rsidRDefault="00D67AA8" w:rsidP="00D67AA8">
      <w:r>
        <w:rPr>
          <w:sz w:val="21"/>
          <w:szCs w:val="21"/>
        </w:rPr>
        <w:t>Lit[era] B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D67AA8" w:rsidRDefault="00D67AA8" w:rsidP="00D67AA8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66</w:t>
      </w:r>
      <w:r>
        <w:tab/>
      </w:r>
      <w:r>
        <w:rPr>
          <w:rStyle w:val="FootnoteReference"/>
        </w:rPr>
        <w:tab/>
      </w:r>
      <w:r>
        <w:t xml:space="preserve">This is A 1778b from the De Hoop Scheffer </w:t>
      </w:r>
      <w:r>
        <w:rPr>
          <w:rStyle w:val="Italics"/>
        </w:rPr>
        <w:t>Inventaris</w:t>
      </w:r>
      <w:r>
        <w:t>.</w:t>
      </w:r>
    </w:p>
    <w:p w:rsidR="00D67AA8" w:rsidRDefault="00D67AA8" w:rsidP="00D67AA8">
      <w:pPr>
        <w:pStyle w:val="FootnoteTextTwo"/>
      </w:pPr>
    </w:p>
  </w:footnote>
  <w:footnote w:id="4">
    <w:p w:rsidR="00D67AA8" w:rsidRDefault="00D67AA8" w:rsidP="00D67AA8">
      <w:pPr>
        <w:pStyle w:val="Footnote-OneDigit"/>
      </w:pPr>
      <w:r>
        <w:rPr>
          <w:vertAlign w:val="superscript"/>
        </w:rPr>
        <w:footnoteRef/>
      </w:r>
      <w:r>
        <w:tab/>
        <w:t>This is in the handwriting of Ludwig Runckel.</w:t>
      </w:r>
    </w:p>
    <w:p w:rsidR="00D67AA8" w:rsidRDefault="00D67AA8" w:rsidP="00D67AA8">
      <w:pPr>
        <w:pStyle w:val="Footnote-OneDigit"/>
      </w:pPr>
    </w:p>
  </w:footnote>
  <w:footnote w:id="5">
    <w:p w:rsidR="00D67AA8" w:rsidRDefault="00D67AA8" w:rsidP="00F96E8A">
      <w:pPr>
        <w:pStyle w:val="Footnote-OneDigit"/>
      </w:pPr>
      <w:r>
        <w:rPr>
          <w:vertAlign w:val="superscript"/>
        </w:rPr>
        <w:footnoteRef/>
      </w:r>
      <w:r w:rsidR="00F96E8A">
        <w:rPr>
          <w:rStyle w:val="ChapterNumberforFootnote"/>
        </w:rPr>
        <w:t xml:space="preserve"> </w:t>
      </w:r>
      <w:r>
        <w:t xml:space="preserve">This is A 1778b from the De Hoop Scheffer </w:t>
      </w:r>
      <w:r>
        <w:rPr>
          <w:rStyle w:val="Italics"/>
        </w:rPr>
        <w:t>Inventaris</w:t>
      </w:r>
      <w:r w:rsidR="00F96E8A">
        <w:t>.</w:t>
      </w:r>
    </w:p>
  </w:footnote>
  <w:footnote w:id="6">
    <w:p w:rsidR="00D67AA8" w:rsidRDefault="00D67AA8" w:rsidP="00F96E8A">
      <w:pPr>
        <w:pStyle w:val="Footnote-OneDigit"/>
      </w:pPr>
      <w:r>
        <w:rPr>
          <w:vertAlign w:val="superscript"/>
        </w:rPr>
        <w:footnoteRef/>
      </w:r>
      <w:r>
        <w:tab/>
        <w:t>This is in the handwriting of Ludwig Runckel</w:t>
      </w:r>
      <w:r w:rsidR="00F96E8A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1778.02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D67AA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D67AA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D67AA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D67AA8"/>
    <w:rPr>
      <w:i/>
      <w:iCs/>
    </w:rPr>
  </w:style>
  <w:style w:type="paragraph" w:customStyle="1" w:styleId="FootnoteTextTwo">
    <w:name w:val="Footnote Text Two"/>
    <w:basedOn w:val="Normal"/>
    <w:uiPriority w:val="99"/>
    <w:rsid w:val="00D67AA8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D67AA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D67AA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