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72, </w:t>
      </w:r>
      <w:r>
        <w:t xml:space="preserve">11 March 1707,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642-44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11 March 1707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Congregation, Hamburg, Roosen, Gerrit, Lanoy, Jan de, Campen, Jacob van, Munster, Jan Elias, Vliegar, Carel de and Reboom, Jan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Hamburg Germany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Schijn, Dr Herman and Congregation, Zon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14:paraId="720F8486" w14:textId="77777777" w:rsidR="00152021" w:rsidRDefault="00152021" w:rsidP="00152021">
      <w:pPr>
        <w:pStyle w:val="02Normal"/>
      </w:pPr>
      <w:r>
        <w:rPr>
          <w:b/>
          <w:bCs/>
          <w:sz w:val="28"/>
          <w:szCs w:val="28"/>
        </w:rPr>
        <w:t>72.  March 11, 1707.</w:t>
      </w:r>
      <w:r>
        <w:rPr>
          <w:sz w:val="28"/>
          <w:szCs w:val="28"/>
          <w:vertAlign w:val="superscript"/>
        </w:rPr>
        <w:footnoteReference w:id="11"/>
      </w:r>
      <w:r>
        <w:t xml:space="preserve">  </w:t>
      </w:r>
    </w:p>
    <w:p w14:paraId="585BEE48" w14:textId="77777777" w:rsidR="00152021" w:rsidRDefault="00152021" w:rsidP="00152021">
      <w:pPr>
        <w:pStyle w:val="02Normal"/>
      </w:pPr>
    </w:p>
    <w:p w14:paraId="59D125AF" w14:textId="77777777" w:rsidR="00152021" w:rsidRDefault="00152021" w:rsidP="00152021">
      <w:pPr>
        <w:pStyle w:val="02Normal"/>
      </w:pPr>
      <w:r>
        <w:t>[pagina 1]</w:t>
      </w:r>
    </w:p>
    <w:p w14:paraId="479F8922" w14:textId="77777777" w:rsidR="00152021" w:rsidRDefault="00152021" w:rsidP="00152021">
      <w:pPr>
        <w:pStyle w:val="02Normal"/>
      </w:pPr>
    </w:p>
    <w:p w14:paraId="4E5CC008" w14:textId="77777777"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Doctr. Hermanus Schÿn en verdere Dienaeren der Doops-</w:t>
      </w:r>
    </w:p>
    <w:p w14:paraId="573FD536" w14:textId="77777777"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Gesinde Gemeente Amsteldam!  Zaeligheidt</w:t>
      </w:r>
    </w:p>
    <w:p w14:paraId="46E35E72" w14:textId="77777777" w:rsidR="00152021" w:rsidRDefault="00152021" w:rsidP="00152021">
      <w:pPr>
        <w:pStyle w:val="02Normal"/>
        <w:rPr>
          <w:lang w:val="nl-NL"/>
        </w:rPr>
      </w:pPr>
    </w:p>
    <w:p w14:paraId="1BAB0F7C" w14:textId="77777777"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Seer Waerde Broederen &amp; Mede-</w:t>
      </w:r>
    </w:p>
    <w:p w14:paraId="0C7DDA3F" w14:textId="77777777"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  <w:t xml:space="preserve">  Dienaeren</w:t>
      </w:r>
    </w:p>
    <w:p w14:paraId="532A6054" w14:textId="77777777" w:rsidR="00152021" w:rsidRDefault="00152021" w:rsidP="00152021">
      <w:pPr>
        <w:pStyle w:val="02Normal"/>
        <w:rPr>
          <w:lang w:val="nl-NL"/>
        </w:rPr>
      </w:pPr>
    </w:p>
    <w:p w14:paraId="1BBE4E42" w14:textId="77777777"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ÜE aengenaeme van d[en] 9 passé,</w:t>
      </w:r>
      <w:r>
        <w:rPr>
          <w:vertAlign w:val="superscript"/>
          <w:lang w:val="nl-NL"/>
        </w:rPr>
        <w:footnoteReference w:id="12"/>
      </w:r>
      <w:r>
        <w:rPr>
          <w:lang w:val="nl-NL"/>
        </w:rPr>
        <w:t xml:space="preserve"> hebben wÿ op sÿn Tÿdt,</w:t>
      </w:r>
    </w:p>
    <w:p w14:paraId="6ECD0859" w14:textId="77777777"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ontfangen: alsmede de brief van Pensilvania te rugh,</w:t>
      </w:r>
    </w:p>
    <w:p w14:paraId="4AC63E62" w14:textId="77777777"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en die van de Vr[ienden] tot Crevelt &amp; Goch.</w:t>
      </w:r>
    </w:p>
    <w:p w14:paraId="32541FC7" w14:textId="77777777"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Nae dat we dan, in ons Collegie, deselve gelesen, en</w:t>
      </w:r>
    </w:p>
    <w:p w14:paraId="6053D787" w14:textId="77777777"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ov[er]wogen hebben, so dient tot vriendlÿck antw:</w:t>
      </w:r>
    </w:p>
    <w:p w14:paraId="0B8045C4" w14:textId="77777777"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dat we, in de hooftsaeck, met UE gants Enig sÿn:</w:t>
      </w:r>
    </w:p>
    <w:p w14:paraId="53011D02" w14:textId="77777777"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en wÿ hebben ons diesaengaende, aen dito Ameri-</w:t>
      </w:r>
    </w:p>
    <w:p w14:paraId="6CC2C764" w14:textId="77777777"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kaanse Broederen, al lang geleden, enigermae-</w:t>
      </w:r>
    </w:p>
    <w:p w14:paraId="0768363A" w14:textId="77777777"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ten v[er]klaert, en de  saeck gerecommandeert.</w:t>
      </w:r>
    </w:p>
    <w:p w14:paraId="43F4FBF4" w14:textId="77777777"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Alleen ons dünckt, dat het veel kragtiger sau wesen,</w:t>
      </w:r>
    </w:p>
    <w:p w14:paraId="287291EA" w14:textId="77777777"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en oock meer Inganck hebben, bÿ dito broederen, wanneer</w:t>
      </w:r>
    </w:p>
    <w:p w14:paraId="4E54826B" w14:textId="77777777"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UE sodaenigen brieff schreef, en onderTekende</w:t>
      </w:r>
    </w:p>
    <w:p w14:paraId="1B1C167E" w14:textId="77777777"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Als UE dan deselve, aen ons belieft te senden, so willen</w:t>
      </w:r>
    </w:p>
    <w:p w14:paraId="1F97AE86" w14:textId="77777777"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wÿ die mede onderTekenen, en voort senden.</w:t>
      </w:r>
    </w:p>
    <w:p w14:paraId="190F20DA" w14:textId="77777777"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of indien UE het goed vindt, dat dit Werck opgehau-</w:t>
      </w:r>
    </w:p>
    <w:p w14:paraId="746BFA53" w14:textId="77777777"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den wordt, tot die societait v[er]Gaedering, Cosei</w:t>
      </w:r>
      <w:r>
        <w:rPr>
          <w:vertAlign w:val="superscript"/>
          <w:lang w:val="nl-NL"/>
        </w:rPr>
        <w:footnoteReference w:id="13"/>
      </w:r>
      <w:r>
        <w:rPr>
          <w:lang w:val="nl-NL"/>
        </w:rPr>
        <w:t xml:space="preserve"> bÿ een</w:t>
      </w:r>
    </w:p>
    <w:p w14:paraId="6D6F25A8" w14:textId="77777777"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komt: en die saeck daerop dient, ’t is ons niet tegen,</w:t>
      </w:r>
    </w:p>
    <w:p w14:paraId="5C048043" w14:textId="77777777"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En te meer, dewÿl het dan, ontgetwÿfelt haere gemoederen/</w:t>
      </w:r>
    </w:p>
    <w:p w14:paraId="33B96946" w14:textId="77777777"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nog kragtiger overtuÿgen, en bewegen sau, om unse</w:t>
      </w:r>
    </w:p>
    <w:p w14:paraId="6B088196" w14:textId="77777777"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Raedt, aen te nemen.</w:t>
      </w:r>
    </w:p>
    <w:p w14:paraId="40604B8E" w14:textId="77777777" w:rsidR="00152021" w:rsidRDefault="00152021" w:rsidP="00152021">
      <w:pPr>
        <w:pStyle w:val="02Normal"/>
        <w:rPr>
          <w:lang w:val="nl-NL"/>
        </w:rPr>
      </w:pPr>
    </w:p>
    <w:p w14:paraId="493F6E5D" w14:textId="77777777"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[pagina 2]</w:t>
      </w:r>
    </w:p>
    <w:p w14:paraId="2179AF38" w14:textId="77777777" w:rsidR="00152021" w:rsidRDefault="00152021" w:rsidP="00152021">
      <w:pPr>
        <w:pStyle w:val="02Normal"/>
      </w:pPr>
    </w:p>
    <w:p w14:paraId="5443AB1E" w14:textId="77777777" w:rsidR="00152021" w:rsidRDefault="00152021" w:rsidP="00152021">
      <w:pPr>
        <w:pStyle w:val="02Normal"/>
      </w:pPr>
      <w:r>
        <w:t>Maer het ergst is, dat de Vr[ien]den daerdoor te langer op-</w:t>
      </w:r>
    </w:p>
    <w:p w14:paraId="43088B72" w14:textId="77777777" w:rsidR="00152021" w:rsidRDefault="00152021" w:rsidP="00152021">
      <w:pPr>
        <w:pStyle w:val="02Normal"/>
      </w:pPr>
      <w:r>
        <w:t>gehouden worden: en te meer, dewÿl we menen, dat</w:t>
      </w:r>
    </w:p>
    <w:p w14:paraId="39DA5D52" w14:textId="77777777" w:rsidR="00152021" w:rsidRDefault="00152021" w:rsidP="00152021">
      <w:pPr>
        <w:pStyle w:val="02Normal"/>
      </w:pPr>
    </w:p>
    <w:p w14:paraId="093AE284" w14:textId="77777777" w:rsidR="00152021" w:rsidRDefault="00152021" w:rsidP="00152021">
      <w:pPr>
        <w:pStyle w:val="02Normal"/>
      </w:pPr>
      <w:r>
        <w:t>dese schepen ordinarie in Maÿ, uÿt Engelandt, nae</w:t>
      </w:r>
    </w:p>
    <w:p w14:paraId="33109F9F" w14:textId="77777777" w:rsidR="00152021" w:rsidRDefault="00152021" w:rsidP="00152021">
      <w:pPr>
        <w:pStyle w:val="02Normal"/>
      </w:pPr>
      <w:r>
        <w:t>Pensilvania v[er]Trecken.</w:t>
      </w:r>
    </w:p>
    <w:p w14:paraId="1FC85D0C" w14:textId="77777777" w:rsidR="00152021" w:rsidRDefault="00152021" w:rsidP="00152021">
      <w:pPr>
        <w:pStyle w:val="02Normal"/>
      </w:pPr>
      <w:r>
        <w:t>Wat UE nü daeromtrent resolveert, laeten wÿ ons</w:t>
      </w:r>
    </w:p>
    <w:p w14:paraId="64A6575F" w14:textId="77777777"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gevallen,</w:t>
      </w:r>
      <w:r>
        <w:rPr>
          <w:vertAlign w:val="superscript"/>
          <w:lang w:val="nl-NL"/>
        </w:rPr>
        <w:footnoteReference w:id="14"/>
      </w:r>
      <w:r>
        <w:rPr>
          <w:lang w:val="nl-NL"/>
        </w:rPr>
        <w:t xml:space="preserve"> en süllen het, met UE Commodetait</w:t>
      </w:r>
      <w:r>
        <w:rPr>
          <w:vertAlign w:val="superscript"/>
          <w:lang w:val="nl-NL"/>
        </w:rPr>
        <w:footnoteReference w:id="15"/>
      </w:r>
      <w:r>
        <w:rPr>
          <w:lang w:val="nl-NL"/>
        </w:rPr>
        <w:t xml:space="preserve"> v[er]Wag-</w:t>
      </w:r>
    </w:p>
    <w:p w14:paraId="5C72B253" w14:textId="77777777"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ten.</w:t>
      </w:r>
    </w:p>
    <w:p w14:paraId="372FF9B0" w14:textId="77777777"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Ondertüssen blÿven wÿ nae bevelinge</w:t>
      </w:r>
      <w:r>
        <w:rPr>
          <w:vertAlign w:val="superscript"/>
          <w:lang w:val="nl-NL"/>
        </w:rPr>
        <w:footnoteReference w:id="16"/>
      </w:r>
      <w:r>
        <w:rPr>
          <w:lang w:val="nl-NL"/>
        </w:rPr>
        <w:t xml:space="preserve"> Godes en herte-</w:t>
      </w:r>
    </w:p>
    <w:p w14:paraId="468A9F1E" w14:textId="77777777"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lÿcke Groetenis</w:t>
      </w:r>
    </w:p>
    <w:p w14:paraId="4F0714FE" w14:textId="77777777" w:rsidR="00152021" w:rsidRDefault="00152021" w:rsidP="00152021">
      <w:pPr>
        <w:pStyle w:val="02Normal"/>
        <w:rPr>
          <w:lang w:val="nl-NL"/>
        </w:rPr>
      </w:pPr>
    </w:p>
    <w:p w14:paraId="5DBD3EF8" w14:textId="77777777"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UE   DW  Dr [en] Br.</w:t>
      </w:r>
      <w:r>
        <w:rPr>
          <w:vertAlign w:val="superscript"/>
          <w:lang w:val="nl-NL"/>
        </w:rPr>
        <w:footnoteReference w:id="17"/>
      </w:r>
    </w:p>
    <w:p w14:paraId="4025A31C" w14:textId="77777777"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Hamb[urg] d[en] 11 Maert</w:t>
      </w:r>
    </w:p>
    <w:p w14:paraId="7EEF3C0A" w14:textId="77777777"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Ao 1707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en uÿt de Naem van onse</w:t>
      </w:r>
    </w:p>
    <w:p w14:paraId="3ADF47CA" w14:textId="77777777"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Gantsche Dienaerschap getekent</w:t>
      </w:r>
    </w:p>
    <w:p w14:paraId="22D1E97A" w14:textId="77777777" w:rsidR="00152021" w:rsidRDefault="00152021" w:rsidP="00152021">
      <w:pPr>
        <w:pStyle w:val="02Normal"/>
        <w:rPr>
          <w:lang w:val="nl-NL"/>
        </w:rPr>
      </w:pPr>
    </w:p>
    <w:p w14:paraId="69F69FAB" w14:textId="77777777"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Geeritt Roosen</w:t>
      </w:r>
    </w:p>
    <w:p w14:paraId="355865B9" w14:textId="77777777"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Jan de Lanoy</w:t>
      </w:r>
    </w:p>
    <w:p w14:paraId="1B4334B0" w14:textId="77777777"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Jacob van Campen</w:t>
      </w:r>
    </w:p>
    <w:p w14:paraId="7C490C8A" w14:textId="77777777"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Jan Elias Münster</w:t>
      </w:r>
    </w:p>
    <w:p w14:paraId="19730AB6" w14:textId="77777777"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Carel de Vlieger</w:t>
      </w:r>
    </w:p>
    <w:p w14:paraId="6D6EB644" w14:textId="77777777"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Jan Reboom</w:t>
      </w:r>
      <w:r>
        <w:rPr>
          <w:vertAlign w:val="superscript"/>
          <w:lang w:val="nl-NL"/>
        </w:rPr>
        <w:footnoteReference w:id="18"/>
      </w:r>
    </w:p>
    <w:p w14:paraId="4B5339DA" w14:textId="77777777" w:rsidR="00152021" w:rsidRDefault="00152021" w:rsidP="00152021">
      <w:pPr>
        <w:pStyle w:val="02Normal"/>
        <w:rPr>
          <w:lang w:val="nl-NL"/>
        </w:rPr>
      </w:pPr>
    </w:p>
    <w:p w14:paraId="52DF3071" w14:textId="77777777"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[pagina 3]</w:t>
      </w:r>
    </w:p>
    <w:p w14:paraId="57524D7E" w14:textId="77777777" w:rsidR="00152021" w:rsidRDefault="00152021" w:rsidP="00152021">
      <w:pPr>
        <w:pStyle w:val="02Normal"/>
        <w:rPr>
          <w:lang w:val="nl-NL"/>
        </w:rPr>
      </w:pPr>
    </w:p>
    <w:p w14:paraId="0B73D0F0" w14:textId="77777777"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 xml:space="preserve">Eersame Discrete </w:t>
      </w:r>
    </w:p>
    <w:p w14:paraId="75234BD2" w14:textId="77777777" w:rsidR="00152021" w:rsidRDefault="00152021" w:rsidP="00152021">
      <w:pPr>
        <w:pStyle w:val="02Normal"/>
        <w:rPr>
          <w:lang w:val="de-DE"/>
        </w:rPr>
      </w:pPr>
      <w:r>
        <w:rPr>
          <w:lang w:val="de-DE"/>
        </w:rPr>
        <w:t xml:space="preserve">Doctr Hermanus </w:t>
      </w:r>
    </w:p>
    <w:p w14:paraId="66209FD0" w14:textId="77777777" w:rsidR="00152021" w:rsidRDefault="00152021" w:rsidP="00152021">
      <w:pPr>
        <w:pStyle w:val="02Normal"/>
        <w:rPr>
          <w:lang w:val="de-DE"/>
        </w:rPr>
      </w:pPr>
      <w:r>
        <w:rPr>
          <w:lang w:val="de-DE"/>
        </w:rPr>
        <w:t xml:space="preserve">      Schÿn</w:t>
      </w:r>
    </w:p>
    <w:p w14:paraId="0C9FD764" w14:textId="77777777" w:rsidR="00152021" w:rsidRDefault="00152021" w:rsidP="00152021">
      <w:pPr>
        <w:pStyle w:val="02Normal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Leraer</w:t>
      </w:r>
    </w:p>
    <w:p w14:paraId="6B16CF39" w14:textId="77777777" w:rsidR="00152021" w:rsidRDefault="00152021" w:rsidP="00152021">
      <w:pPr>
        <w:pStyle w:val="02Normal"/>
        <w:rPr>
          <w:lang w:val="de-DE"/>
        </w:rPr>
      </w:pPr>
      <w:r>
        <w:rPr>
          <w:lang w:val="de-DE"/>
        </w:rPr>
        <w:t>der Doopsgesinde</w:t>
      </w:r>
    </w:p>
    <w:p w14:paraId="6518AAE0" w14:textId="77777777" w:rsidR="00152021" w:rsidRDefault="00152021" w:rsidP="00152021">
      <w:pPr>
        <w:pStyle w:val="02Normal"/>
      </w:pPr>
      <w:r>
        <w:rPr>
          <w:lang w:val="de-DE"/>
        </w:rPr>
        <w:tab/>
      </w:r>
      <w:r>
        <w:rPr>
          <w:lang w:val="de-DE"/>
        </w:rPr>
        <w:tab/>
      </w:r>
      <w:r>
        <w:t>a</w:t>
      </w:r>
    </w:p>
    <w:p w14:paraId="7E60463D" w14:textId="77777777" w:rsidR="00152021" w:rsidRDefault="00152021" w:rsidP="00152021">
      <w:pPr>
        <w:pStyle w:val="02Normal"/>
      </w:pPr>
      <w:r>
        <w:tab/>
      </w:r>
      <w:r>
        <w:tab/>
        <w:t>Amsteldam</w:t>
      </w:r>
    </w:p>
    <w:p w14:paraId="4E737D75" w14:textId="77777777" w:rsidR="0084002E" w:rsidRDefault="0084002E"/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152021" w:rsidRDefault="00152021" w:rsidP="00152021">
      <w:pPr>
        <w:pStyle w:val="FootnoteText"/>
        <w:ind w:firstLine="0"/>
        <w:rPr>
          <w:i/>
          <w:iCs/>
        </w:rPr>
      </w:pPr>
      <w:r>
        <w:rPr>
          <w:vertAlign w:val="superscript"/>
        </w:rPr>
        <w:footnoteRef/>
      </w:r>
      <w:r>
        <w:rPr>
          <w:b/>
          <w:bCs/>
          <w:sz w:val="20"/>
          <w:szCs w:val="20"/>
        </w:rPr>
        <w:t>72</w:t>
      </w:r>
      <w:r>
        <w:rPr>
          <w:b/>
          <w:bCs/>
        </w:rPr>
        <w:tab/>
      </w:r>
      <w:r>
        <w:rPr>
          <w:rStyle w:val="FootnoteReference"/>
        </w:rPr>
        <w:t>1</w:t>
      </w:r>
      <w:r>
        <w:t xml:space="preserve"> A 2244 from the De Hoop Scheffer </w:t>
      </w:r>
      <w:r>
        <w:rPr>
          <w:i/>
          <w:iCs/>
        </w:rPr>
        <w:t xml:space="preserve">Inventaris. </w:t>
      </w:r>
      <w:r>
        <w:t>It exists also in a transcription made by J. W. Rijnders.  See Document 59 n. 1.</w:t>
      </w:r>
      <w:r>
        <w:rPr>
          <w:i/>
          <w:iCs/>
        </w:rPr>
        <w:t xml:space="preserve">  </w:t>
      </w:r>
    </w:p>
    <w:p w:rsidR="00152021" w:rsidRDefault="00152021" w:rsidP="00152021">
      <w:pPr>
        <w:pStyle w:val="FootnoteText"/>
        <w:ind w:firstLine="0"/>
      </w:pPr>
    </w:p>
  </w:footnote>
  <w:footnote w:id="4">
    <w:p w:rsidR="00152021" w:rsidRDefault="00152021" w:rsidP="00152021">
      <w:pPr>
        <w:pStyle w:val="FootnoteText"/>
      </w:pPr>
      <w:r>
        <w:rPr>
          <w:vertAlign w:val="superscript"/>
        </w:rPr>
        <w:footnoteRef/>
      </w:r>
      <w:r>
        <w:t xml:space="preserve"> “past,” (French).</w:t>
      </w:r>
    </w:p>
    <w:p w:rsidR="00152021" w:rsidRDefault="00152021" w:rsidP="00152021">
      <w:pPr>
        <w:pStyle w:val="FootnoteText"/>
      </w:pPr>
    </w:p>
  </w:footnote>
  <w:footnote w:id="5">
    <w:p w:rsidR="00152021" w:rsidRDefault="00152021" w:rsidP="00152021">
      <w:pPr>
        <w:pStyle w:val="FootnoteText"/>
      </w:pPr>
      <w:r>
        <w:rPr>
          <w:vertAlign w:val="superscript"/>
        </w:rPr>
        <w:footnoteRef/>
      </w:r>
      <w:r>
        <w:t xml:space="preserve"> This spelling is not in doubt, but the meaning is unknown.</w:t>
      </w:r>
    </w:p>
    <w:p w:rsidR="00152021" w:rsidRDefault="00152021" w:rsidP="00152021">
      <w:pPr>
        <w:pStyle w:val="FootnoteText"/>
      </w:pPr>
    </w:p>
  </w:footnote>
  <w:footnote w:id="6">
    <w:p w:rsidR="00152021" w:rsidRDefault="00152021" w:rsidP="00152021">
      <w:pPr>
        <w:pStyle w:val="FootnoteText"/>
        <w:rPr>
          <w:lang w:val="de-DE"/>
        </w:rPr>
      </w:pPr>
      <w:r>
        <w:rPr>
          <w:vertAlign w:val="superscript"/>
        </w:rPr>
        <w:footnoteRef/>
      </w:r>
      <w:r>
        <w:rPr>
          <w:lang w:val="de-DE"/>
        </w:rPr>
        <w:t xml:space="preserve"> “aangenaam zijn.”</w:t>
      </w:r>
    </w:p>
    <w:p w:rsidR="00152021" w:rsidRDefault="00152021" w:rsidP="00152021">
      <w:pPr>
        <w:pStyle w:val="FootnoteText"/>
      </w:pPr>
    </w:p>
  </w:footnote>
  <w:footnote w:id="7">
    <w:p w:rsidR="00152021" w:rsidRDefault="00152021" w:rsidP="00152021">
      <w:pPr>
        <w:pStyle w:val="FootnoteText"/>
        <w:rPr>
          <w:lang w:val="de-DE"/>
        </w:rPr>
      </w:pPr>
      <w:r>
        <w:rPr>
          <w:vertAlign w:val="superscript"/>
        </w:rPr>
        <w:footnoteRef/>
      </w:r>
      <w:r>
        <w:rPr>
          <w:lang w:val="de-DE"/>
        </w:rPr>
        <w:t xml:space="preserve"> Cf. Kommodität, “Bequemlichkeit,” (German).</w:t>
      </w:r>
    </w:p>
    <w:p w:rsidR="00152021" w:rsidRDefault="00152021" w:rsidP="00152021">
      <w:pPr>
        <w:pStyle w:val="FootnoteText"/>
      </w:pPr>
    </w:p>
  </w:footnote>
  <w:footnote w:id="8">
    <w:p w:rsidR="00152021" w:rsidRDefault="00152021" w:rsidP="00152021">
      <w:pPr>
        <w:pStyle w:val="FootnoteText"/>
        <w:rPr>
          <w:lang w:val="nl-NL"/>
        </w:rPr>
      </w:pPr>
      <w:r>
        <w:rPr>
          <w:vertAlign w:val="superscript"/>
        </w:rPr>
        <w:footnoteRef/>
      </w:r>
      <w:r>
        <w:rPr>
          <w:lang w:val="nl-NL"/>
        </w:rPr>
        <w:t xml:space="preserve"> “opdragen aan, aanbeveling.”</w:t>
      </w:r>
    </w:p>
    <w:p w:rsidR="00152021" w:rsidRDefault="00152021" w:rsidP="00152021">
      <w:pPr>
        <w:pStyle w:val="FootnoteText"/>
      </w:pPr>
    </w:p>
  </w:footnote>
  <w:footnote w:id="9">
    <w:p w:rsidR="00152021" w:rsidRDefault="00152021" w:rsidP="00152021">
      <w:pPr>
        <w:pStyle w:val="FootnoteText"/>
        <w:rPr>
          <w:lang w:val="nl-NL"/>
        </w:rPr>
      </w:pPr>
      <w:r>
        <w:rPr>
          <w:vertAlign w:val="superscript"/>
        </w:rPr>
        <w:footnoteRef/>
      </w:r>
      <w:r>
        <w:rPr>
          <w:lang w:val="nl-NL"/>
        </w:rPr>
        <w:t xml:space="preserve"> Dienstwillige Dienaaren en Broederen.</w:t>
      </w:r>
    </w:p>
    <w:p w:rsidR="00152021" w:rsidRDefault="00152021" w:rsidP="00152021">
      <w:pPr>
        <w:pStyle w:val="FootnoteText"/>
      </w:pPr>
    </w:p>
  </w:footnote>
  <w:footnote w:id="10">
    <w:p w:rsidR="00152021" w:rsidRDefault="00152021" w:rsidP="00152021">
      <w:pPr>
        <w:pStyle w:val="FootnoteText"/>
      </w:pPr>
      <w:r>
        <w:rPr>
          <w:vertAlign w:val="superscript"/>
        </w:rPr>
        <w:footnoteRef/>
      </w:r>
      <w:r>
        <w:t xml:space="preserve"> This could be read as “Keboom.”</w:t>
      </w:r>
    </w:p>
    <w:p w:rsidR="00152021" w:rsidRDefault="00152021" w:rsidP="00152021">
      <w:pPr>
        <w:pStyle w:val="FootnoteText"/>
      </w:pPr>
    </w:p>
  </w:footnote>
  <w:footnote w:id="11">
    <w:p w14:paraId="4E16B246" w14:textId="61BDEB0C" w:rsidR="00152021" w:rsidRDefault="00152021" w:rsidP="001F3FB0">
      <w:pPr>
        <w:pStyle w:val="FootnoteText"/>
      </w:pPr>
      <w:r>
        <w:rPr>
          <w:vertAlign w:val="superscript"/>
        </w:rPr>
        <w:footnoteRef/>
      </w:r>
      <w:r w:rsidR="00021DDF">
        <w:rPr>
          <w:b/>
          <w:bCs/>
          <w:sz w:val="20"/>
          <w:szCs w:val="20"/>
        </w:rPr>
        <w:t xml:space="preserve"> </w:t>
      </w:r>
      <w:r>
        <w:t xml:space="preserve">A 2244 from the De Hoop Scheffer </w:t>
      </w:r>
      <w:r>
        <w:rPr>
          <w:i/>
          <w:iCs/>
        </w:rPr>
        <w:t xml:space="preserve">Inventaris. </w:t>
      </w:r>
      <w:r>
        <w:t>It exists also in a transcription made by J. W. Rijnders.  See Document 59 n. 1</w:t>
      </w:r>
      <w:r w:rsidR="001F3FB0">
        <w:t>.</w:t>
      </w:r>
    </w:p>
  </w:footnote>
  <w:footnote w:id="12">
    <w:p w14:paraId="57C208D6" w14:textId="77777777" w:rsidR="00152021" w:rsidRDefault="00152021" w:rsidP="001F3FB0">
      <w:pPr>
        <w:pStyle w:val="FootnoteText"/>
      </w:pPr>
      <w:r>
        <w:rPr>
          <w:vertAlign w:val="superscript"/>
        </w:rPr>
        <w:footnoteRef/>
      </w:r>
      <w:r>
        <w:t xml:space="preserve"> “past,” (French)</w:t>
      </w:r>
      <w:r w:rsidR="001F3FB0">
        <w:t>.</w:t>
      </w:r>
    </w:p>
  </w:footnote>
  <w:footnote w:id="13">
    <w:p w14:paraId="49D9D8AD" w14:textId="77777777" w:rsidR="00152021" w:rsidRDefault="00152021" w:rsidP="001F3FB0">
      <w:pPr>
        <w:pStyle w:val="FootnoteText"/>
      </w:pPr>
      <w:r>
        <w:rPr>
          <w:vertAlign w:val="superscript"/>
        </w:rPr>
        <w:footnoteRef/>
      </w:r>
      <w:r>
        <w:t xml:space="preserve"> This spelling is not in doubt, but the meaning is unknown</w:t>
      </w:r>
      <w:r w:rsidR="001F3FB0">
        <w:t>.</w:t>
      </w:r>
    </w:p>
  </w:footnote>
  <w:footnote w:id="14">
    <w:p w14:paraId="455A4402" w14:textId="77777777" w:rsidR="00152021" w:rsidRDefault="00152021" w:rsidP="001F3FB0">
      <w:pPr>
        <w:pStyle w:val="FootnoteText"/>
      </w:pPr>
      <w:r>
        <w:rPr>
          <w:vertAlign w:val="superscript"/>
        </w:rPr>
        <w:footnoteRef/>
      </w:r>
      <w:r>
        <w:rPr>
          <w:lang w:val="de-DE"/>
        </w:rPr>
        <w:t xml:space="preserve"> “aangenaam zijn</w:t>
      </w:r>
      <w:r w:rsidR="001F3FB0">
        <w:rPr>
          <w:lang w:val="de-DE"/>
        </w:rPr>
        <w:t>.</w:t>
      </w:r>
    </w:p>
  </w:footnote>
  <w:footnote w:id="15">
    <w:p w14:paraId="32EFCE6E" w14:textId="77777777" w:rsidR="00152021" w:rsidRDefault="00152021" w:rsidP="001F3FB0">
      <w:pPr>
        <w:pStyle w:val="FootnoteText"/>
      </w:pPr>
      <w:r>
        <w:rPr>
          <w:vertAlign w:val="superscript"/>
        </w:rPr>
        <w:footnoteRef/>
      </w:r>
      <w:r>
        <w:rPr>
          <w:lang w:val="de-DE"/>
        </w:rPr>
        <w:t xml:space="preserve"> Cf. Kommodität, “Bequemlichkeit,” (German)</w:t>
      </w:r>
      <w:r w:rsidR="001F3FB0">
        <w:rPr>
          <w:lang w:val="de-DE"/>
        </w:rPr>
        <w:t>.</w:t>
      </w:r>
    </w:p>
  </w:footnote>
  <w:footnote w:id="16">
    <w:p w14:paraId="34CF134D" w14:textId="77777777" w:rsidR="00152021" w:rsidRDefault="00152021" w:rsidP="001F3FB0">
      <w:pPr>
        <w:pStyle w:val="FootnoteText"/>
      </w:pPr>
      <w:r>
        <w:rPr>
          <w:vertAlign w:val="superscript"/>
        </w:rPr>
        <w:footnoteRef/>
      </w:r>
      <w:r>
        <w:rPr>
          <w:lang w:val="nl-NL"/>
        </w:rPr>
        <w:t xml:space="preserve"> “opdragen aan, aanbeveling</w:t>
      </w:r>
      <w:r w:rsidR="001F3FB0">
        <w:rPr>
          <w:lang w:val="nl-NL"/>
        </w:rPr>
        <w:t>.</w:t>
      </w:r>
    </w:p>
  </w:footnote>
  <w:footnote w:id="17">
    <w:p w14:paraId="07243370" w14:textId="77777777" w:rsidR="00152021" w:rsidRDefault="00152021" w:rsidP="001F3FB0">
      <w:pPr>
        <w:pStyle w:val="FootnoteText"/>
      </w:pPr>
      <w:r>
        <w:rPr>
          <w:vertAlign w:val="superscript"/>
        </w:rPr>
        <w:footnoteRef/>
      </w:r>
      <w:r>
        <w:rPr>
          <w:lang w:val="nl-NL"/>
        </w:rPr>
        <w:t xml:space="preserve"> Dienstwillige Dienaaren en Broederen</w:t>
      </w:r>
      <w:r w:rsidR="001F3FB0">
        <w:rPr>
          <w:lang w:val="nl-NL"/>
        </w:rPr>
        <w:t>.</w:t>
      </w:r>
    </w:p>
  </w:footnote>
  <w:footnote w:id="18">
    <w:p w14:paraId="12D60796" w14:textId="77777777" w:rsidR="00152021" w:rsidRDefault="00152021" w:rsidP="001F3FB0">
      <w:pPr>
        <w:pStyle w:val="FootnoteText"/>
      </w:pPr>
      <w:r>
        <w:rPr>
          <w:vertAlign w:val="superscript"/>
        </w:rPr>
        <w:footnoteRef/>
      </w:r>
      <w:r>
        <w:t xml:space="preserve"> This could be read as “Keboom</w:t>
      </w:r>
      <w:r w:rsidR="001F3FB0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2244.01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Normal">
    <w:name w:val="02 Normal"/>
    <w:basedOn w:val="Normal"/>
    <w:uiPriority w:val="99"/>
    <w:rsid w:val="00152021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02Normal"/>
    <w:link w:val="FootnoteTextChar"/>
    <w:uiPriority w:val="99"/>
    <w:rsid w:val="00152021"/>
    <w:pPr>
      <w:tabs>
        <w:tab w:val="left" w:pos="270"/>
      </w:tabs>
      <w:spacing w:line="185" w:lineRule="atLeast"/>
      <w:ind w:firstLine="270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52021"/>
    <w:rPr>
      <w:rFonts w:ascii="Sabon LT Std" w:hAnsi="Sabon LT Std" w:cs="Sabon LT Std"/>
      <w:color w:val="000000"/>
      <w:sz w:val="16"/>
      <w:szCs w:val="16"/>
    </w:rPr>
  </w:style>
  <w:style w:type="character" w:styleId="FootnoteReference">
    <w:name w:val="footnote reference"/>
    <w:basedOn w:val="DefaultParagraphFont"/>
    <w:uiPriority w:val="99"/>
    <w:rsid w:val="00152021"/>
    <w:rPr>
      <w:w w:val="10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