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86, </w:t>
      </w:r>
      <w:r>
        <w:t xml:space="preserve">19 November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470-80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19 November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CF1B21" w:rsidRDefault="00CF1B21" w:rsidP="00CF1B21">
      <w:pPr>
        <w:pStyle w:val="FirstParagraph"/>
      </w:pPr>
      <w:r>
        <w:t>86.  November 19, 1710.</w:t>
      </w:r>
      <w:r>
        <w:rPr>
          <w:rStyle w:val="FootnoteReference"/>
        </w:rPr>
        <w:footnoteReference w:id="3"/>
      </w:r>
    </w:p>
    <w:p w:rsidR="00CF1B21" w:rsidRDefault="00CF1B21" w:rsidP="00CF1B21">
      <w:pPr>
        <w:pStyle w:val="OriginalText"/>
        <w:rPr>
          <w:sz w:val="21"/>
          <w:szCs w:val="21"/>
        </w:rPr>
      </w:pP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Amsterdam Committee (chronologically)"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Bern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den 19  </w:t>
      </w:r>
      <w:r>
        <w:rPr>
          <w:rStyle w:val="Italics"/>
          <w:sz w:val="21"/>
          <w:szCs w:val="21"/>
        </w:rPr>
        <w:t>9bris</w:t>
      </w:r>
      <w:r>
        <w:rPr>
          <w:sz w:val="21"/>
          <w:szCs w:val="21"/>
        </w:rPr>
        <w:t xml:space="preserve"> 1710.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Wohl Edle, etc.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Meine insonders Hochgeehrte Herren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Mein letzteres ware vom 15 dieses, worinnen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Denenselben angedienet, was von Ihrer Königl[ichen]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May[estät] in Preüsen wegen auff und annehmung der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hierländischen armen Mennoniten an einen lobl[ichen] Stand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Bern newer dingen gelanget, auch was darauff von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einem lobl[ichen] Stand Bern hinwiederumb </w:t>
      </w:r>
      <w:r>
        <w:rPr>
          <w:rStyle w:val="Italics"/>
          <w:sz w:val="21"/>
          <w:szCs w:val="21"/>
        </w:rPr>
        <w:t>resolviert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worden, auch anbeÿ vermeldet, waß maßen mann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allhier lieber sehe, wann diese gute Leüthe, anstatt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mann solche in Preüsen verführe, unter dem schutz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undt Schirm Ihrer Hochmögenden der Herren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General</w:t>
      </w:r>
      <w:r>
        <w:rPr>
          <w:sz w:val="21"/>
          <w:szCs w:val="21"/>
        </w:rPr>
        <w:t xml:space="preserve"> Staaten könten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"settlement in Netherlands"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auff- und angenohmen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werden, auch wie diese gute Leüthe selbsten ein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weit gröseres verlangen und begirdt nacher Holland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alß aber nach dem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"Brandenburg"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Brandenburgischen bezeugen,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auch wie, meinem geringen bedüncken nach, ersteres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ihnen auff alle weg und weiß weit vorträglicher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2] und ersprieslicher wäre als letzteres, etc.  Auff welches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mein letzteres schreiben dann, wie auch auff mein kurtz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vorhergegangenes, ich mich beliebter kürtze halber hier-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mit bezogen haben will.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Nachdeme aber zu </w:t>
      </w:r>
      <w:r>
        <w:rPr>
          <w:rStyle w:val="Italics"/>
          <w:sz w:val="21"/>
          <w:szCs w:val="21"/>
        </w:rPr>
        <w:t>faciliti</w:t>
      </w:r>
      <w:r>
        <w:rPr>
          <w:sz w:val="21"/>
          <w:szCs w:val="21"/>
        </w:rPr>
        <w:t>rung dieses wercks,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damit Meine Hoch geehrte Herren wegen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établi</w:t>
      </w:r>
      <w:r>
        <w:rPr>
          <w:sz w:val="21"/>
          <w:szCs w:val="21"/>
        </w:rPr>
        <w:t>rung dieser armen Leüthen unter dem schutz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Schirm Ihrer Hochmögenden dero </w:t>
      </w:r>
      <w:r>
        <w:rPr>
          <w:rStyle w:val="Italics"/>
          <w:sz w:val="21"/>
          <w:szCs w:val="21"/>
        </w:rPr>
        <w:t>mesures</w:t>
      </w:r>
      <w:r>
        <w:rPr>
          <w:sz w:val="21"/>
          <w:szCs w:val="21"/>
        </w:rPr>
        <w:t xml:space="preserve"> umb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 viel besser und sicherer nehmen mögen, die allhier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sich gefangen befindente Täuffer schon seit etwas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zeits durch die Herren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"Knopf, Daniel"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Knopff und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"Wagner, Bernhard"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Wagner bitten und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ersuchen laßen, daß Sie mir doch in vertrauwen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eröffnen wolten,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"number of Anabaptists in Bern"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wie viel sie Wohl meÿnen daß Ihrer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glaubens-genossen Brüder und Schwestern sich in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hiesigen Landen noch ungefehr auffhalten, oder in die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Nachbahrschafft herumb verstreüwet seÿn mögten, Sie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aber deswegen aus furcht, mißtrauwen und zärtlichkeit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ihres gewissens allerhandt bedenckens gemachet, und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mit der sprach gegen obige beÿde herren sich nicht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recht heraus laßen wollen;  Alß habe dieselbe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vorgestern selbsten in ihren banden, und zwaren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der gesellschafft des Herren Knopffens, so wohl in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"Island (Insull, Island Hospital)"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Insul alß in dem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"Upper Hospital (Ober Spital, Holy Ghost Hospital)"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Obern Spittahl abermahlen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Ludwig:planned to visit 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heimgesuchet, ihnen die nothwendigkeit dieser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erklärung und wie wenig gefahr Sie und Ihre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3] noch in der freÿheit sich befindente Brüder und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Schwestern disfals zu besorgen, fürgstellet, auch ihnen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waumb</w:t>
      </w:r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es eigentlich hierinnen zu thun seÿe, in Christlicher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liebe weitläufftig </w:t>
      </w:r>
      <w:r>
        <w:rPr>
          <w:rStyle w:val="Italics"/>
          <w:sz w:val="21"/>
          <w:szCs w:val="21"/>
        </w:rPr>
        <w:t>remonstriret</w:t>
      </w:r>
      <w:r>
        <w:rPr>
          <w:sz w:val="21"/>
          <w:szCs w:val="21"/>
        </w:rPr>
        <w:t>, welches dann so viel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gefruchtet, daß Sie nach einiger berathschlagung unter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ihnen sich entlichen, wie nebengehendt zu sehen,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erkläret, und mich inständigst gebetten, solches an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niemandten anders alß an Meine Hochgeehrte Herren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 </w:t>
      </w:r>
      <w:r>
        <w:rPr>
          <w:rStyle w:val="Italics"/>
          <w:sz w:val="21"/>
          <w:szCs w:val="21"/>
        </w:rPr>
        <w:t>communicieren</w:t>
      </w:r>
      <w:r>
        <w:rPr>
          <w:sz w:val="21"/>
          <w:szCs w:val="21"/>
        </w:rPr>
        <w:t>, damit Sie darauß die ungefähre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anzahl der hierländischen theils gefangenen, theils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zerstreuten armen Täufferen ersehen, und demnach,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 es immer möglich, Ihnen einen unterschlauff unter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dem schutz und schirm Ihrer Hochmögenden, oder, wo solches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derrchaus</w:t>
      </w:r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nicht thunlich, unter Ihrer konigl[ichen] May[estät]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Preüsen oder wo M[eine] h[och] g[eehrten] herren solches sonsten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rathsam finden mögten, und solches zwaren je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ehender je besser, zuwegen zubringen trachten mögten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damit Sie dermahleins auß ihrer gefangenschafft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anderen Trübsalen erlöset, Gott an dem Ortt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welchen Er Ihnen zu ihrem wohnplatz etwann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ausgesehen, in friede, stiller ruhe und völliger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freÿheit ihres gewissens dienen und sich ehrlich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nehren mögten.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Wann nun auß nebengehender </w:t>
      </w:r>
      <w:r>
        <w:rPr>
          <w:rStyle w:val="Italics"/>
          <w:sz w:val="21"/>
          <w:szCs w:val="21"/>
        </w:rPr>
        <w:t>declaration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erhellet, daß dieser armen Leüthen so gar viel nicht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4] mehr im Landt, und dann anderer seits leicht zu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erachten, daß viele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"persecution:against amputees, aged, poor, ailing"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schwache, kränckliche und betagte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Personen, welche dem lauff der Natur nach so gar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of:map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"Aarwangen:map"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"Wangen:map"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"Herzogenbuchsee:map"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"Wynigen:map"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"Dürrenroth:map"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"Eriswil:map"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"Affoltern:map"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"Burgdorf:map"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"Münchenbuchsee:map"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"Lützelflüh:map"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"Sumiswald:map"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"Trachselwald:map"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"Rüderswil:map"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"Bolligen:map"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         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"Stettlen:map"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"Lauperswil (Laupertswil):map"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"Langnau:map"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"Trub:map"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"Signau:map"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"Biel, Lake:map"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"Eggiwil:map"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"Röthenbach:map"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"Diessbach:map"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"Riggisberg:map"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"Schwarzenegg:map"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"Schwarzenburg:map"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"Steffisburg:map"</w:instrText>
      </w:r>
      <w:r>
        <w:rPr>
          <w:sz w:val="21"/>
          <w:szCs w:val="21"/>
        </w:rPr>
        <w:fldChar w:fldCharType="end"/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lange nicht mehr leben können, sich unter diesen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Leuthen befinden.  Alß will hoffen, daß es M[eine] h[och] g[eehrten] herren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umb so viel leichter ankommen werde, für dieselbe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eine guten und sicheren unterschlauff, wo es möglich,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unter dem schutz und Schirm Ihrer hochmögenden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 finden, oder Sie auffs wenigste anderswo unter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 bringen, damit Sie einmahlen zur ruhe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gelangen mögen.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Solte mann wiederverhoffen dieses </w:t>
      </w:r>
      <w:r>
        <w:rPr>
          <w:rStyle w:val="Italics"/>
          <w:sz w:val="21"/>
          <w:szCs w:val="21"/>
        </w:rPr>
        <w:t>établissement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unter dem schutz ihrer Königl[ichen] May[estät] in Preusen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suchen müssen, welches mir, weilen solches die sache noch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allzulang </w:t>
      </w:r>
      <w:r>
        <w:rPr>
          <w:rStyle w:val="Italics"/>
          <w:sz w:val="21"/>
          <w:szCs w:val="21"/>
        </w:rPr>
        <w:t>trainiren</w:t>
      </w:r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würde, von hertzen leÿd wäre, so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will die in meinem unterm 1 ten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Bern:prisoners"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8bris</w:t>
      </w:r>
      <w:r>
        <w:rPr>
          <w:sz w:val="21"/>
          <w:szCs w:val="21"/>
        </w:rPr>
        <w:t xml:space="preserve"> letzthin an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Meine hoch geehrte Herren abgegebenen Schreiben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vermeldete </w:t>
      </w:r>
      <w:r>
        <w:rPr>
          <w:rStyle w:val="Italics"/>
          <w:sz w:val="21"/>
          <w:szCs w:val="21"/>
        </w:rPr>
        <w:t>reflexiones</w:t>
      </w:r>
      <w:r>
        <w:rPr>
          <w:sz w:val="21"/>
          <w:szCs w:val="21"/>
        </w:rPr>
        <w:t xml:space="preserve"> beliebter kürtze wegen hieher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wiederholt, und daß mann darauff </w:t>
      </w:r>
      <w:r>
        <w:rPr>
          <w:rStyle w:val="Italics"/>
          <w:sz w:val="21"/>
          <w:szCs w:val="21"/>
        </w:rPr>
        <w:t>reflecti</w:t>
      </w:r>
      <w:r>
        <w:rPr>
          <w:sz w:val="21"/>
          <w:szCs w:val="21"/>
        </w:rPr>
        <w:t>ren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möge inständigst gebetten haben.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Ubrigens haben mich die arme gefangene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Mennonitten (so derer anzahl umb mehr nicht alß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einen eintzigen Mann aus der so genandten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"Reistians (Mennonites):non-cooperation"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Untern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Gemeindt, seit letzt übersander </w:t>
      </w:r>
      <w:r>
        <w:rPr>
          <w:rStyle w:val="Italics"/>
          <w:sz w:val="21"/>
          <w:szCs w:val="21"/>
        </w:rPr>
        <w:t>Specification</w:t>
      </w:r>
      <w:r>
        <w:rPr>
          <w:sz w:val="21"/>
          <w:szCs w:val="21"/>
        </w:rPr>
        <w:t xml:space="preserve"> vermehret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worden) sambt und sonders inständigst gebetten und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5] ersuchet, Meine hoch geehrte herren in Ihrem nahmen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für alle empfangene guthaten und trew-Vätterliche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vorsorg auch hülff trost und rath demüthigst zu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dancken, und dieselbe umb deren beständige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fortsetzung instandigst zu ersuchen:  welches hiermit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in optima forma</w:t>
      </w:r>
      <w:r>
        <w:rPr>
          <w:rStyle w:val="FootnoteReference"/>
          <w:sz w:val="21"/>
          <w:szCs w:val="21"/>
        </w:rPr>
        <w:footnoteReference w:id="8"/>
      </w:r>
      <w:r>
        <w:rPr>
          <w:sz w:val="21"/>
          <w:szCs w:val="21"/>
        </w:rPr>
        <w:t xml:space="preserve"> abstatten, und zugleich Meine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hocheehrte Herren in den allwaltenden starcken gnaden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schutz, mich und die meinige aber in dero andächtiges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gebett schönstens empfehlen sollen, alß der ich in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wahrer liebe und auffrichtigkeit stetshin bin und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verbleibe.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Meiner hochgeehrten herren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Ergebenster Diener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Johann Ludwig Runckel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6]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Laut der von mir zu ends unterschriebenem in beÿseÿn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 xml:space="preserve">Herren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"Knopf, Daniel:his count of Anabaptists"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Knopffens von denen allhier zu Bern gefangen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 xml:space="preserve">sitzenden armen Täufferen den 17 </w:t>
      </w:r>
      <w:r>
        <w:rPr>
          <w:rStyle w:val="Italics"/>
          <w:sz w:val="21"/>
          <w:szCs w:val="21"/>
        </w:rPr>
        <w:t>9bris</w:t>
      </w:r>
      <w:r>
        <w:rPr>
          <w:sz w:val="21"/>
          <w:szCs w:val="21"/>
        </w:rPr>
        <w:t xml:space="preserve"> 1710 in höchstem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vertrauwen auffgenommenen außsage, befinden sich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 xml:space="preserve">mit Ihnen den gefangenen annoch ungefehr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"Reformed children and spouses"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"number of Anabaptists in Bern:adult members"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300 so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Manns-alß Weibs-Personen ihres glaubens in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und umb denen Landtschafften eines Lobl[iche]n Stands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Bern, alß nemblich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Ambt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"Signau"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Signauw ungefehr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17 Personen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Ambt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"Sumiswald"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Summiswald ungefehr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20 Personen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dem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"Oberland"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Oberlandt, oder der so genanten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"Upper Congregations"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Obern Gemeindte von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"Steffisburg"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Stäffisburg,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"Thun"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Thun,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"Hilterfingen"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Hilterfingen,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"Sigriswil"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Siegriswiel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"Schwarzenegg"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Schwartzeneck,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"Diessbach"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Diesbach,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"Röthenbach"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Rothenbach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"Frutigen"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Fruttiggen etc. etc. Zusammen ungefehr</w:t>
      </w:r>
      <w:r>
        <w:rPr>
          <w:sz w:val="21"/>
          <w:szCs w:val="21"/>
        </w:rPr>
        <w:tab/>
        <w:t xml:space="preserve">40 meistens weibs- 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der so genandten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"Lower Congregations"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untern Gemeind, alß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Personen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"Langnau"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Langnau,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"Trub"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Trub,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"Süderen"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Südern,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"Lauperswil (Laupertswil)"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Lupertswiel, 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"Eggiwil"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Eckenwiel,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"Trachselwald"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Drachßelwald,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"Lützelflüh"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Lutzelflühe etc. etc.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zusamen ungefehr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188 Manns-und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weibs-Personen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Umb die Statt herumb ungefehr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10 Meisteins Manns</w:t>
      </w:r>
    </w:p>
    <w:p w:rsidR="00CF1B21" w:rsidRDefault="00CF1B21" w:rsidP="00CF1B21">
      <w:pPr>
        <w:pStyle w:val="OriginalText"/>
        <w:tabs>
          <w:tab w:val="left" w:pos="5460"/>
        </w:tabs>
        <w:rPr>
          <w:sz w:val="21"/>
          <w:szCs w:val="21"/>
        </w:rPr>
      </w:pPr>
      <w:r>
        <w:rPr>
          <w:sz w:val="21"/>
          <w:szCs w:val="21"/>
        </w:rPr>
        <w:tab/>
        <w:t>Personen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sonsten hin und wieder um Land herumb,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 xml:space="preserve">so ihnen denen </w:t>
      </w:r>
      <w:r>
        <w:rPr>
          <w:rStyle w:val="Italics"/>
          <w:sz w:val="21"/>
          <w:szCs w:val="21"/>
        </w:rPr>
        <w:t>Deponenten</w:t>
      </w:r>
      <w:r>
        <w:rPr>
          <w:sz w:val="21"/>
          <w:szCs w:val="21"/>
        </w:rPr>
        <w:t xml:space="preserve"> nicht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eigentlich bekandt, ungefehr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20 Personen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Machten also zusammen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Style w:val="Italics"/>
          <w:sz w:val="21"/>
          <w:szCs w:val="21"/>
        </w:rPr>
        <w:t>pr</w:t>
      </w:r>
      <w:r>
        <w:rPr>
          <w:sz w:val="21"/>
          <w:szCs w:val="21"/>
        </w:rPr>
        <w:t>æ</w:t>
      </w:r>
      <w:r>
        <w:rPr>
          <w:rStyle w:val="Italics"/>
          <w:sz w:val="21"/>
          <w:szCs w:val="21"/>
        </w:rPr>
        <w:t>ter propter</w:t>
      </w:r>
      <w:r>
        <w:rPr>
          <w:rStyle w:val="FootnoteReference"/>
          <w:sz w:val="21"/>
          <w:szCs w:val="21"/>
        </w:rPr>
        <w:footnoteReference w:id="9"/>
      </w:r>
    </w:p>
    <w:p w:rsidR="00CF1B21" w:rsidRDefault="00CF1B21" w:rsidP="00CF1B21">
      <w:pPr>
        <w:pStyle w:val="OriginalText"/>
        <w:rPr>
          <w:w w:val="92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w w:val="92"/>
          <w:sz w:val="21"/>
          <w:szCs w:val="21"/>
        </w:rPr>
        <w:t>295 Personen beyder</w:t>
      </w:r>
    </w:p>
    <w:p w:rsidR="00CF1B21" w:rsidRDefault="00CF1B21" w:rsidP="00CF1B21">
      <w:pPr>
        <w:pStyle w:val="OriginalText"/>
        <w:tabs>
          <w:tab w:val="left" w:pos="5420"/>
        </w:tabs>
        <w:rPr>
          <w:sz w:val="21"/>
          <w:szCs w:val="21"/>
        </w:rPr>
      </w:pPr>
      <w:r>
        <w:rPr>
          <w:sz w:val="21"/>
          <w:szCs w:val="21"/>
        </w:rPr>
        <w:tab/>
        <w:t>leÿ geschlechts</w:t>
      </w:r>
    </w:p>
    <w:p w:rsidR="00CF1B21" w:rsidRDefault="00CF1B21" w:rsidP="00CF1B21">
      <w:pPr>
        <w:pStyle w:val="OriginalText"/>
        <w:tabs>
          <w:tab w:val="left" w:pos="5440"/>
        </w:tabs>
        <w:rPr>
          <w:sz w:val="21"/>
          <w:szCs w:val="21"/>
        </w:rPr>
      </w:pPr>
      <w:r>
        <w:rPr>
          <w:sz w:val="21"/>
          <w:szCs w:val="21"/>
        </w:rPr>
        <w:tab/>
        <w:t>Vertatur</w:t>
      </w:r>
      <w:r>
        <w:rPr>
          <w:rStyle w:val="FootnoteReference"/>
          <w:sz w:val="21"/>
          <w:szCs w:val="21"/>
        </w:rPr>
        <w:footnoteReference w:id="10"/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7]</w:t>
      </w:r>
    </w:p>
    <w:p w:rsidR="00CF1B21" w:rsidRDefault="00CF1B21" w:rsidP="00CF1B21">
      <w:pPr>
        <w:pStyle w:val="OriginalText"/>
        <w:rPr>
          <w:sz w:val="21"/>
          <w:szCs w:val="21"/>
        </w:rPr>
      </w:pP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Darunter seindt aber die Reformirte Männer so Menniste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Frauwen, und Reformirte Frauwen so Menniste Männer,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wie auch allen, </w:t>
      </w:r>
      <w:r>
        <w:rPr>
          <w:rStyle w:val="Italics"/>
          <w:sz w:val="21"/>
          <w:szCs w:val="21"/>
        </w:rPr>
        <w:t>in specie</w:t>
      </w:r>
      <w:r>
        <w:rPr>
          <w:rStyle w:val="FootnoteReference"/>
          <w:sz w:val="21"/>
          <w:szCs w:val="21"/>
        </w:rPr>
        <w:footnoteReference w:id="11"/>
      </w:r>
      <w:r>
        <w:rPr>
          <w:sz w:val="21"/>
          <w:szCs w:val="21"/>
        </w:rPr>
        <w:t xml:space="preserve"> aber noch nicht wiedergetauffte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Kinder, welche sich ebenmäßig auff ein ziemblich anzahl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belauffen sollen, nicht begriffen.  </w:t>
      </w:r>
      <w:r>
        <w:rPr>
          <w:rStyle w:val="Italics"/>
          <w:sz w:val="21"/>
          <w:szCs w:val="21"/>
        </w:rPr>
        <w:t>Actum</w:t>
      </w:r>
      <w:r>
        <w:rPr>
          <w:sz w:val="21"/>
          <w:szCs w:val="21"/>
        </w:rPr>
        <w:t xml:space="preserve"> Bern den 17ten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Novembris</w:t>
      </w:r>
      <w:r>
        <w:rPr>
          <w:sz w:val="21"/>
          <w:szCs w:val="21"/>
        </w:rPr>
        <w:t xml:space="preserve"> 1710.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"Walkringen:map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"Signau:map"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"Schlosswil:map"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"Gross-Höchstetten:map"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"Münsingen:map"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"Hüningen:map"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"Röthenbach:map"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"Diessbach:map"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"Schangnau:map"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"Diessbach"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"Freiburg, Canton of:map"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"Wattenwil:map"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"Uetendorf:map"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"Thierachern:map"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"Hilterfingen:map"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"Oberhofen:map"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"Amsoldingen (Amseldingen):map"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"Stocken:map"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"Reutigen:map"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"Sigriswil:map"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"Spiez:map"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"Wimmis:map"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"Latterbach:map"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"Erlenbach:map"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"Diemtigen:map"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"Aeschi:map"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"Leissigen:map"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"Reichenbach:map"</w:instrText>
      </w:r>
      <w:r>
        <w:rPr>
          <w:sz w:val="21"/>
          <w:szCs w:val="21"/>
        </w:rPr>
        <w:fldChar w:fldCharType="end"/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"Lake of Thun:map of area"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Johann Ludwig Runckel.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4625340</wp:posOffset>
                </wp:positionH>
                <wp:positionV relativeFrom="line">
                  <wp:posOffset>5362575</wp:posOffset>
                </wp:positionV>
                <wp:extent cx="1892300" cy="73025"/>
                <wp:effectExtent l="5715" t="9525" r="6985" b="1270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7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B21" w:rsidRDefault="00CF1B21" w:rsidP="00CF1B21">
                            <w:pPr>
                              <w:pStyle w:val="PhotoCaption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Lancaster Mennonite Historical Society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4.2pt;margin-top:422.25pt;width:149pt;height:5.7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" o:allowincell="f">
                <v:textbox>
                  <w:txbxContent>
                    <w:p w:rsidR="00CF1B21" w:rsidRDefault="00CF1B21" w:rsidP="00CF1B21">
                      <w:pPr>
                        <w:pStyle w:val="PhotoCaption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Lancaster Mennonite Historical Society</w:t>
                      </w:r>
                    </w:p>
                  </w:txbxContent>
                </v:textbox>
                <w10:wrap type="square" anchory="line"/>
              </v:shape>
            </w:pict>
          </mc:Fallback>
        </mc:AlternateConten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CF1B21" w:rsidRDefault="00CF1B21" w:rsidP="00CF1B21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86</w:t>
      </w:r>
      <w:r>
        <w:tab/>
      </w:r>
      <w:r>
        <w:rPr>
          <w:rStyle w:val="FootnoteReference"/>
        </w:rPr>
        <w:tab/>
      </w:r>
      <w:r>
        <w:t xml:space="preserve">This is A 1287 from the De Hoop Scheffer </w:t>
      </w:r>
      <w:r>
        <w:rPr>
          <w:rStyle w:val="Italics"/>
        </w:rPr>
        <w:t>Inventaris</w:t>
      </w:r>
      <w:r>
        <w:t>.  It exists also in a transcription made by J. W. Rijnders.  See Document 62 n. 1.</w:t>
      </w:r>
    </w:p>
    <w:p w:rsidR="00CF1B21" w:rsidRDefault="00CF1B21" w:rsidP="00CF1B21">
      <w:pPr>
        <w:pStyle w:val="FootnoteText"/>
      </w:pPr>
    </w:p>
  </w:footnote>
  <w:footnote w:id="4">
    <w:p w:rsidR="00CF1B21" w:rsidRDefault="00CF1B21" w:rsidP="00CF1B21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CF1B21" w:rsidRDefault="00CF1B21" w:rsidP="00CF1B21">
      <w:pPr>
        <w:pStyle w:val="Footnote-OneDigit"/>
      </w:pPr>
    </w:p>
  </w:footnote>
  <w:footnote w:id="5">
    <w:p w:rsidR="00CF1B21" w:rsidRDefault="00CF1B21" w:rsidP="00CF1B21">
      <w:pPr>
        <w:pStyle w:val="FirstFootnoteinColumnLine"/>
      </w:pPr>
      <w:r>
        <w:rPr>
          <w:vertAlign w:val="superscript"/>
        </w:rPr>
        <w:footnoteRef/>
      </w:r>
      <w:r>
        <w:tab/>
        <w:t>warum.</w:t>
      </w:r>
    </w:p>
    <w:p w:rsidR="00CF1B21" w:rsidRDefault="00CF1B21" w:rsidP="00CF1B21">
      <w:pPr>
        <w:pStyle w:val="FirstFootnoteinColumnLine"/>
      </w:pPr>
    </w:p>
  </w:footnote>
  <w:footnote w:id="6">
    <w:p w:rsidR="00CF1B21" w:rsidRDefault="00CF1B21" w:rsidP="00CF1B21">
      <w:pPr>
        <w:pStyle w:val="Footnote-OneDigit"/>
      </w:pPr>
      <w:r>
        <w:rPr>
          <w:vertAlign w:val="superscript"/>
        </w:rPr>
        <w:footnoteRef/>
      </w:r>
      <w:r>
        <w:tab/>
        <w:t xml:space="preserve">durchaus (?).  </w:t>
      </w:r>
    </w:p>
    <w:p w:rsidR="00CF1B21" w:rsidRDefault="00CF1B21" w:rsidP="00CF1B21">
      <w:pPr>
        <w:pStyle w:val="Footnote-OneDigit"/>
      </w:pPr>
    </w:p>
  </w:footnote>
  <w:footnote w:id="7">
    <w:p w:rsidR="00CF1B21" w:rsidRDefault="00CF1B21" w:rsidP="00CF1B21">
      <w:pPr>
        <w:pStyle w:val="FirstFootnoteinColumnLine"/>
      </w:pPr>
      <w:r>
        <w:rPr>
          <w:vertAlign w:val="superscript"/>
        </w:rPr>
        <w:footnoteRef/>
      </w:r>
      <w:r>
        <w:tab/>
        <w:t>“delay, protract.”</w:t>
      </w:r>
    </w:p>
    <w:p w:rsidR="00CF1B21" w:rsidRDefault="00CF1B21" w:rsidP="00CF1B21">
      <w:pPr>
        <w:pStyle w:val="FirstFootnoteinColumnLine"/>
      </w:pPr>
    </w:p>
  </w:footnote>
  <w:footnote w:id="8">
    <w:p w:rsidR="00CF1B21" w:rsidRDefault="00CF1B21" w:rsidP="00CF1B21">
      <w:pPr>
        <w:pStyle w:val="Footnote-OneDigit"/>
      </w:pPr>
      <w:r>
        <w:rPr>
          <w:vertAlign w:val="superscript"/>
        </w:rPr>
        <w:footnoteRef/>
      </w:r>
      <w:r>
        <w:tab/>
        <w:t>“in best form” (Latin).</w:t>
      </w:r>
    </w:p>
    <w:p w:rsidR="00CF1B21" w:rsidRDefault="00CF1B21" w:rsidP="00CF1B21">
      <w:pPr>
        <w:pStyle w:val="Footnote-OneDigit"/>
      </w:pPr>
    </w:p>
  </w:footnote>
  <w:footnote w:id="9">
    <w:p w:rsidR="00CF1B21" w:rsidRDefault="00CF1B21" w:rsidP="00CF1B21">
      <w:pPr>
        <w:pStyle w:val="FirstFootnoteinColumnLine"/>
      </w:pPr>
      <w:r>
        <w:rPr>
          <w:vertAlign w:val="superscript"/>
        </w:rPr>
        <w:footnoteRef/>
      </w:r>
      <w:r>
        <w:tab/>
        <w:t>“more or less” (Latin).</w:t>
      </w:r>
    </w:p>
    <w:p w:rsidR="00CF1B21" w:rsidRDefault="00CF1B21" w:rsidP="00CF1B21">
      <w:pPr>
        <w:pStyle w:val="FirstFootnoteinColumnLine"/>
      </w:pPr>
    </w:p>
  </w:footnote>
  <w:footnote w:id="10">
    <w:p w:rsidR="00CF1B21" w:rsidRDefault="00CF1B21" w:rsidP="00CF1B21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Vertatur [pagina]</w:t>
      </w:r>
      <w:r>
        <w:t>, “Let [the page] be turned”  (Latin).</w:t>
      </w:r>
    </w:p>
    <w:p w:rsidR="00CF1B21" w:rsidRDefault="00CF1B21" w:rsidP="00CF1B21">
      <w:pPr>
        <w:pStyle w:val="Footnote-OneDigit"/>
      </w:pPr>
    </w:p>
  </w:footnote>
  <w:footnote w:id="11">
    <w:p w:rsidR="00CF1B21" w:rsidRDefault="00CF1B21" w:rsidP="00CF1B21">
      <w:pPr>
        <w:pStyle w:val="Footnote-OneDigit"/>
      </w:pPr>
      <w:r>
        <w:rPr>
          <w:vertAlign w:val="superscript"/>
        </w:rPr>
        <w:footnoteRef/>
      </w:r>
      <w:r>
        <w:tab/>
        <w:t>“of [this] kind” (Latin).</w:t>
      </w:r>
    </w:p>
    <w:p w:rsidR="00CF1B21" w:rsidRDefault="00CF1B21" w:rsidP="00CF1B21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1287.01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CF1B21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CF1B21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CF1B21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CF1B21"/>
    <w:rPr>
      <w:i/>
      <w:iCs/>
    </w:rPr>
  </w:style>
  <w:style w:type="paragraph" w:customStyle="1" w:styleId="PhotoCaption">
    <w:name w:val="Photo Caption"/>
    <w:basedOn w:val="Normal"/>
    <w:uiPriority w:val="99"/>
    <w:rsid w:val="00CF1B21"/>
    <w:pPr>
      <w:suppressAutoHyphens/>
      <w:autoSpaceDE w:val="0"/>
      <w:autoSpaceDN w:val="0"/>
      <w:adjustRightInd w:val="0"/>
      <w:spacing w:after="0" w:line="200" w:lineRule="atLeast"/>
      <w:textAlignment w:val="center"/>
    </w:pPr>
    <w:rPr>
      <w:rFonts w:ascii="Helvetica LT Std Bold" w:hAnsi="Helvetica LT Std Bold" w:cs="Helvetica LT Std Bold"/>
      <w:b/>
      <w:bCs/>
      <w:color w:val="000000"/>
      <w:sz w:val="17"/>
      <w:szCs w:val="17"/>
    </w:rPr>
  </w:style>
  <w:style w:type="paragraph" w:styleId="FootnoteText">
    <w:name w:val="footnote text"/>
    <w:basedOn w:val="Normal"/>
    <w:link w:val="FootnoteTextChar"/>
    <w:uiPriority w:val="99"/>
    <w:rsid w:val="00CF1B21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F1B21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CF1B21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CF1B21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CF1B21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