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195, 12 August 1711, translation," in Documents of Brotherly Love: Dutch Mennonite Aid to Swiss Anabaptists (Millersburg, OH: Ohio Amish Library), 1177-83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12 August 1711</w:t>
      </w:r>
    </w:p>
    <w:p w14:paraId="1E41C2EC" w14:textId="4C8BED9E" w:rsidR="001B5C66" w:rsidRPr="00F362B5" w:rsidRDefault="001B5C66" w:rsidP="007E6ED7">
      <w:pPr>
        <w:rPr>
          <w:b/>
          <w:bCs/>
        </w:rPr>
      </w:pPr>
      <w:r w:rsidRPr="00F362B5">
        <w:rPr>
          <w:b/>
          <w:bCs/>
        </w:rPr>
      </w:r>
      <w:r>
        <w:rPr>
          <w:b/>
        </w:rPr>
        <w:t xml:space="preserve">Sender: </w:t>
      </w:r>
      <w:r>
        <w:tab/>
        <w:tab/>
      </w:r>
      <w:r>
        <w:t>Brechtbuhl, Benedict, Ramseier, Hans and Baur, Ulli</w:t>
      </w:r>
    </w:p>
    <w:p w14:paraId="4760F9DB" w14:textId="6D4D60EA" w:rsidR="001B5C66" w:rsidRPr="00F362B5" w:rsidRDefault="001B5C66" w:rsidP="007E6ED7">
      <w:pPr>
        <w:rPr>
          <w:b/>
          <w:bCs/>
        </w:rPr>
      </w:pPr>
      <w:r w:rsidRPr="00F362B5">
        <w:rPr>
          <w:b/>
          <w:bCs/>
        </w:rPr>
      </w:r>
      <w:r>
        <w:rPr>
          <w:b/>
        </w:rPr>
        <w:t xml:space="preserve">Sender Place: </w:t>
      </w:r>
      <w:r>
        <w:tab/>
      </w:r>
      <w:r>
        <w:t>Gdańsk, Pomeranian Voivodeship, Poland</w:t>
      </w:r>
    </w:p>
    <w:p w14:paraId="7145AB74" w14:textId="78AC5946" w:rsidR="001B5C66" w:rsidRPr="00F362B5" w:rsidRDefault="001B5C66" w:rsidP="007E6ED7">
      <w:pPr>
        <w:rPr>
          <w:b/>
          <w:bCs/>
        </w:rPr>
      </w:pPr>
      <w:r w:rsidRPr="00F362B5">
        <w:rPr>
          <w:b/>
          <w:bCs/>
        </w:rPr>
      </w:r>
      <w:r>
        <w:rPr>
          <w:b/>
        </w:rPr>
        <w:t xml:space="preserve">Receiver: </w:t>
      </w:r>
      <w:r>
        <w:tab/>
        <w:tab/>
      </w:r>
      <w:r>
        <w:t>Kate, Herman ten, Walle, Christopher Van de and 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54DC9" w:rsidRDefault="00F54DC9" w:rsidP="00F54DC9">
      <w:pPr>
        <w:pStyle w:val="FirstParagraph"/>
      </w:pPr>
      <w:r>
        <w:t>191.  August 4, 1711.</w:t>
      </w:r>
      <w:r>
        <w:rPr>
          <w:rStyle w:val="FootnoteReference"/>
        </w:rPr>
        <w:footnoteReference w:id="3"/>
      </w:r>
    </w:p>
    <w:p w:rsidR="00F54DC9" w:rsidRDefault="00F54DC9" w:rsidP="00F54DC9">
      <w:pPr>
        <w:pStyle w:val="OriginalText"/>
      </w:pPr>
    </w:p>
    <w:p w:rsidR="00F54DC9" w:rsidRDefault="00F54DC9" w:rsidP="00F54DC9">
      <w:pPr>
        <w:pStyle w:val="OriginalText"/>
      </w:pPr>
      <w:r>
        <w:t>[folio 1 recto]</w:t>
      </w:r>
    </w:p>
    <w:p w:rsidR="00F54DC9" w:rsidRDefault="00F54DC9" w:rsidP="00F54DC9">
      <w:pPr>
        <w:pStyle w:val="OriginalText"/>
      </w:pPr>
    </w:p>
    <w:p w:rsidR="00F54DC9" w:rsidRDefault="00F54DC9" w:rsidP="00F54DC9">
      <w:pPr>
        <w:pStyle w:val="OriginalText"/>
      </w:pPr>
      <w:r>
        <w:t>Actum den 4 Augustij 1711</w:t>
      </w:r>
    </w:p>
    <w:p w:rsidR="00F54DC9" w:rsidRDefault="00F54DC9" w:rsidP="00F54DC9">
      <w:pPr>
        <w:pStyle w:val="OriginalText"/>
      </w:pPr>
      <w:r>
        <w:t xml:space="preserve">   Jn Ædibus</w:t>
      </w:r>
      <w:r>
        <w:rPr>
          <w:rStyle w:val="FootnoteReference"/>
        </w:rPr>
        <w:footnoteReference w:id="4"/>
      </w:r>
      <w:r>
        <w:t xml:space="preserve"> zÿn Excelentje de H[ee]r Generael Luÿtenant Graaf van</w:t>
      </w:r>
    </w:p>
    <w:p w:rsidR="00F54DC9" w:rsidRDefault="00F54DC9" w:rsidP="00F54DC9">
      <w:pPr>
        <w:pStyle w:val="OriginalText"/>
      </w:pPr>
      <w:r>
        <w:t>den hoff, in Presentje zÿner Hoog Graaffelÿke</w:t>
      </w:r>
      <w:r>
        <w:rPr>
          <w:rStyle w:val="FootnoteReference"/>
        </w:rPr>
        <w:footnoteReference w:id="5"/>
      </w:r>
      <w:r>
        <w:t xml:space="preserve"> Excelentje, item den H[ee]r Gene-</w:t>
      </w:r>
    </w:p>
    <w:p w:rsidR="00F54DC9" w:rsidRDefault="00F54DC9" w:rsidP="00F54DC9">
      <w:pPr>
        <w:pStyle w:val="OriginalText"/>
      </w:pPr>
      <w:r>
        <w:t xml:space="preserve">rael Maÿor van den hoff, den H[ee]r </w:t>
      </w:r>
      <w:r>
        <w:fldChar w:fldCharType="begin"/>
      </w:r>
      <w:r>
        <w:instrText>xe "Reutter, Mr., Prussian official"</w:instrText>
      </w:r>
      <w:r>
        <w:fldChar w:fldCharType="end"/>
      </w:r>
      <w:r>
        <w:t>Reutter Raatsheer in ’t hofgerigt</w:t>
      </w:r>
    </w:p>
    <w:p w:rsidR="00F54DC9" w:rsidRDefault="00F54DC9" w:rsidP="00F54DC9">
      <w:pPr>
        <w:pStyle w:val="OriginalText"/>
      </w:pPr>
      <w:r>
        <w:t xml:space="preserve">den H[ee]r </w:t>
      </w:r>
      <w:r>
        <w:fldChar w:fldCharType="begin"/>
      </w:r>
      <w:r>
        <w:instrText>xe "Dozler, Mr., Prussian official"</w:instrText>
      </w:r>
      <w:r>
        <w:fldChar w:fldCharType="end"/>
      </w:r>
      <w:r>
        <w:t xml:space="preserve">Dozler Raatsheer en kamermeester, en de H[ee]r </w:t>
      </w:r>
      <w:r>
        <w:fldChar w:fldCharType="begin"/>
      </w:r>
      <w:r>
        <w:instrText>xe "Hofman Steur, Mr., Prussian official"</w:instrText>
      </w:r>
      <w:r>
        <w:fldChar w:fldCharType="end"/>
      </w:r>
      <w:r>
        <w:t>hofman Steur Raadtsheer.</w:t>
      </w:r>
    </w:p>
    <w:p w:rsidR="00F54DC9" w:rsidRDefault="00F54DC9" w:rsidP="00F54DC9">
      <w:pPr>
        <w:pStyle w:val="OriginalText"/>
      </w:pPr>
      <w:r>
        <w:t xml:space="preserve">   Zÿn de </w:t>
      </w:r>
      <w:r>
        <w:fldChar w:fldCharType="begin"/>
      </w:r>
      <w:r>
        <w:instrText>xe "Friedrich Wilhelm, King of Prussia:matters to negotiate with"</w:instrText>
      </w:r>
      <w:r>
        <w:fldChar w:fldCharType="end"/>
      </w:r>
      <w:r>
        <w:t>Puncten welke de Gedeputeerden der Switserse Mennonisten</w:t>
      </w:r>
    </w:p>
    <w:p w:rsidR="00F54DC9" w:rsidRDefault="00F54DC9" w:rsidP="00F54DC9">
      <w:pPr>
        <w:pStyle w:val="OriginalText"/>
      </w:pPr>
      <w:r>
        <w:t>hebben overgelevert, voorgelesen, en daer op geresolveert in manieren als volgt</w:t>
      </w:r>
    </w:p>
    <w:p w:rsidR="00F54DC9" w:rsidRDefault="00F54DC9" w:rsidP="00F54DC9">
      <w:pPr>
        <w:pStyle w:val="OriginalText"/>
      </w:pPr>
      <w:r>
        <w:t>1   Het wordt niet getwÿffelt, dat dewÿl zÿn Koningl[ijke] Majest[eit] hun vergunt zig</w:t>
      </w:r>
    </w:p>
    <w:p w:rsidR="00F54DC9" w:rsidRDefault="00F54DC9" w:rsidP="00F54DC9">
      <w:pPr>
        <w:pStyle w:val="OriginalText"/>
      </w:pPr>
      <w:r>
        <w:t xml:space="preserve">alhier in ’t Land neder te setten, deselve hun ook </w:t>
      </w:r>
      <w:r>
        <w:fldChar w:fldCharType="begin"/>
      </w:r>
      <w:r>
        <w:instrText>xe "religion, freedom of:in Prussia"</w:instrText>
      </w:r>
      <w:r>
        <w:fldChar w:fldCharType="end"/>
      </w:r>
      <w:r>
        <w:t>vrÿheijdt van Concientje, ende</w:t>
      </w:r>
    </w:p>
    <w:p w:rsidR="00F54DC9" w:rsidRDefault="00F54DC9" w:rsidP="00F54DC9">
      <w:pPr>
        <w:pStyle w:val="OriginalText"/>
      </w:pPr>
      <w:r>
        <w:t>oeffening hunner Religie alder genadigst zal vergunnen.</w:t>
      </w:r>
    </w:p>
    <w:p w:rsidR="00F54DC9" w:rsidRDefault="00F54DC9" w:rsidP="00F54DC9">
      <w:pPr>
        <w:pStyle w:val="OriginalText"/>
      </w:pPr>
      <w:r>
        <w:t>2   Het is de Gedeputeerde[n] aengetoondt dat de voorgeslagene drie voorwerken</w:t>
      </w:r>
      <w:r>
        <w:rPr>
          <w:rStyle w:val="FootnoteReference"/>
        </w:rPr>
        <w:footnoteReference w:id="6"/>
      </w:r>
    </w:p>
    <w:p w:rsidR="00F54DC9" w:rsidRDefault="00F54DC9" w:rsidP="00F54DC9">
      <w:pPr>
        <w:pStyle w:val="OriginalText"/>
      </w:pPr>
      <w:r>
        <w:t xml:space="preserve">in ’t Ampt </w:t>
      </w:r>
      <w:r>
        <w:fldChar w:fldCharType="begin"/>
      </w:r>
      <w:r>
        <w:instrText>xe "Kuckernese"</w:instrText>
      </w:r>
      <w:r>
        <w:fldChar w:fldCharType="end"/>
      </w:r>
      <w:r>
        <w:t xml:space="preserve">Kuckerneese, namentlÿk </w:t>
      </w:r>
      <w:r>
        <w:fldChar w:fldCharType="begin"/>
      </w:r>
      <w:r>
        <w:instrText>xe "Neusorge"</w:instrText>
      </w:r>
      <w:r>
        <w:fldChar w:fldCharType="end"/>
      </w:r>
      <w:r>
        <w:t xml:space="preserve">Neusorge, </w:t>
      </w:r>
      <w:r>
        <w:fldChar w:fldCharType="begin"/>
      </w:r>
      <w:r>
        <w:instrText>xe "Old and New Schopen in Kuckernese"</w:instrText>
      </w:r>
      <w:r>
        <w:fldChar w:fldCharType="end"/>
      </w:r>
      <w:r>
        <w:t>Oud &amp; Nieuw Schopen</w:t>
      </w:r>
    </w:p>
    <w:p w:rsidR="00F54DC9" w:rsidRDefault="00F54DC9" w:rsidP="00F54DC9">
      <w:pPr>
        <w:pStyle w:val="OriginalText"/>
      </w:pPr>
      <w:r>
        <w:t>de mennonisten niet Erffelijk konden overgedaen worden, dewÿle het Koninglÿke</w:t>
      </w:r>
    </w:p>
    <w:p w:rsidR="00F54DC9" w:rsidRDefault="00F54DC9" w:rsidP="00F54DC9">
      <w:pPr>
        <w:pStyle w:val="OriginalText"/>
      </w:pPr>
      <w:r>
        <w:t>Domÿne[n] zijn, ’t welk zÿ ook hebben begrepen, en sig ook daer op hebben verklaart</w:t>
      </w:r>
    </w:p>
    <w:p w:rsidR="00F54DC9" w:rsidRDefault="00F54DC9" w:rsidP="00F54DC9">
      <w:pPr>
        <w:pStyle w:val="OriginalText"/>
      </w:pPr>
      <w:r>
        <w:t>wanneer zulks niet konden geschieden Zÿ wel over een huuringe van 30 of 40 Jaren</w:t>
      </w:r>
    </w:p>
    <w:p w:rsidR="00F54DC9" w:rsidRDefault="00F54DC9" w:rsidP="00F54DC9">
      <w:pPr>
        <w:pStyle w:val="OriginalText"/>
      </w:pPr>
      <w:r>
        <w:t>wilde[n] handelen, dog onder die Conditje dat na het verloop dier tÿdt, de vastgestelde</w:t>
      </w:r>
    </w:p>
    <w:p w:rsidR="00F54DC9" w:rsidRDefault="00F54DC9" w:rsidP="00F54DC9">
      <w:pPr>
        <w:pStyle w:val="OriginalText"/>
      </w:pPr>
      <w:r>
        <w:t>Huur niet zoude verhoogt worden, maer (mits betalende een dubbelde huur Gelÿk</w:t>
      </w:r>
    </w:p>
    <w:p w:rsidR="00F54DC9" w:rsidRDefault="00F54DC9" w:rsidP="00F54DC9">
      <w:pPr>
        <w:pStyle w:val="OriginalText"/>
      </w:pPr>
      <w:r>
        <w:t>het in deese plaatsen bÿ</w:t>
      </w:r>
      <w:r>
        <w:fldChar w:fldCharType="begin"/>
      </w:r>
      <w:r>
        <w:instrText>xe "Holländerei"</w:instrText>
      </w:r>
      <w:r>
        <w:fldChar w:fldCharType="end"/>
      </w:r>
      <w:r>
        <w:t xml:space="preserve"> Hollanderÿen</w:t>
      </w:r>
      <w:r>
        <w:rPr>
          <w:rStyle w:val="FootnoteReference"/>
        </w:rPr>
        <w:footnoteReference w:id="7"/>
      </w:r>
      <w:r>
        <w:t xml:space="preserve"> gebruÿkelÿk is) het Contract altoos van 30 tot 30</w:t>
      </w:r>
    </w:p>
    <w:p w:rsidR="00F54DC9" w:rsidRDefault="00F54DC9" w:rsidP="00F54DC9">
      <w:pPr>
        <w:pStyle w:val="OriginalText"/>
      </w:pPr>
      <w:r>
        <w:t>ofte van 40 tot 40 Jaaren mogte vernieuwt worden, waer bÿ Zij nog hebben voorge-</w:t>
      </w:r>
    </w:p>
    <w:p w:rsidR="00F54DC9" w:rsidRDefault="00F54DC9" w:rsidP="00F54DC9">
      <w:pPr>
        <w:pStyle w:val="OriginalText"/>
      </w:pPr>
      <w:r>
        <w:t>dragen, dat het hun mogte vrÿstaen hunne hoeven den een aan den ander te verkoope[n]</w:t>
      </w:r>
    </w:p>
    <w:p w:rsidR="00F54DC9" w:rsidRDefault="00F54DC9" w:rsidP="00F54DC9">
      <w:pPr>
        <w:pStyle w:val="OriginalText"/>
      </w:pPr>
      <w:r>
        <w:t>ofte andersints af te staen, nademael zulks alhier gebruÿkelÿk is, en zijn Koningl[ijke]</w:t>
      </w:r>
    </w:p>
    <w:p w:rsidR="00F54DC9" w:rsidRDefault="00F54DC9" w:rsidP="00F54DC9">
      <w:pPr>
        <w:pStyle w:val="OriginalText"/>
      </w:pPr>
      <w:r>
        <w:t>Majest[eit] niet benadeelen kan.</w:t>
      </w:r>
    </w:p>
    <w:p w:rsidR="00F54DC9" w:rsidRDefault="00F54DC9" w:rsidP="00F54DC9">
      <w:pPr>
        <w:pStyle w:val="OriginalText"/>
      </w:pPr>
      <w:r>
        <w:t>3   Js hun voorgesteld, dat de plaatsen waerover zÿ begeeren te handelen, niet woest</w:t>
      </w:r>
    </w:p>
    <w:p w:rsidR="00F54DC9" w:rsidRDefault="00F54DC9" w:rsidP="00F54DC9">
      <w:pPr>
        <w:pStyle w:val="OriginalText"/>
      </w:pPr>
      <w:r>
        <w:t>leggen, maer zijn Koningl[ijke] Majest[eit] daer van werkelÿk de huuren en andere inkomste[n]</w:t>
      </w:r>
    </w:p>
    <w:p w:rsidR="00F54DC9" w:rsidRDefault="00F54DC9" w:rsidP="00F54DC9">
      <w:pPr>
        <w:pStyle w:val="OriginalText"/>
      </w:pPr>
      <w:r>
        <w:t>geniet, aen hun daar van geen vrij Jaaren konde toegestaen worden, maer bÿ al-</w:t>
      </w:r>
    </w:p>
    <w:p w:rsidR="00F54DC9" w:rsidRDefault="00F54DC9" w:rsidP="00F54DC9">
      <w:pPr>
        <w:pStyle w:val="OriginalText"/>
      </w:pPr>
      <w:r>
        <w:t>dien zij, soodanige plaatsen welke door de Pest uÿtgestorven, en tegenwoordig on-</w:t>
      </w:r>
    </w:p>
    <w:p w:rsidR="00F54DC9" w:rsidRDefault="00F54DC9" w:rsidP="00F54DC9">
      <w:pPr>
        <w:pStyle w:val="OriginalText"/>
      </w:pPr>
      <w:r>
        <w:t>bewoont zÿn, tot hunne ter neder setting kwamen uijt te kiesen, dan zoude hun</w:t>
      </w:r>
    </w:p>
    <w:p w:rsidR="00F54DC9" w:rsidRDefault="00F54DC9" w:rsidP="00F54DC9">
      <w:pPr>
        <w:pStyle w:val="OriginalText"/>
      </w:pPr>
      <w:r>
        <w:t>wegens de versogte vrÿ Jaren, des te eerder kunnen ingevolgt worden.</w:t>
      </w:r>
    </w:p>
    <w:p w:rsidR="00F54DC9" w:rsidRDefault="00F54DC9" w:rsidP="00F54DC9">
      <w:pPr>
        <w:pStyle w:val="OriginalText"/>
      </w:pPr>
      <w:r>
        <w:t>4   Tot de eerste opbouw mogt hun het nodige bouwhout wel sonder vergelding gege-</w:t>
      </w:r>
    </w:p>
    <w:p w:rsidR="00F54DC9" w:rsidRDefault="00F54DC9" w:rsidP="00F54DC9">
      <w:pPr>
        <w:pStyle w:val="OriginalText"/>
      </w:pPr>
      <w:r>
        <w:t>ven worden maer wat het Brandthout en het toekomende Bouwhout belangt, des-</w:t>
      </w:r>
    </w:p>
    <w:p w:rsidR="00F54DC9" w:rsidRDefault="00F54DC9" w:rsidP="00F54DC9">
      <w:pPr>
        <w:pStyle w:val="OriginalText"/>
      </w:pPr>
      <w:r>
        <w:t>wegen zoude[n] Zÿ gelÿk andere Onderdanen van zÿn Koninkl[ijke] Majest[eit] in</w:t>
      </w:r>
    </w:p>
    <w:p w:rsidR="00F54DC9" w:rsidRDefault="00F54DC9" w:rsidP="00F54DC9">
      <w:pPr>
        <w:pStyle w:val="OriginalText"/>
      </w:pPr>
      <w:r>
        <w:t>huuring moeten doen, ende het gewoonelÿke hout en stam gelt moeten</w:t>
      </w:r>
    </w:p>
    <w:p w:rsidR="00F54DC9" w:rsidRDefault="00F54DC9" w:rsidP="00F54DC9">
      <w:pPr>
        <w:pStyle w:val="OriginalText"/>
      </w:pPr>
      <w:r>
        <w:t>betalen.</w:t>
      </w:r>
    </w:p>
    <w:p w:rsidR="00F54DC9" w:rsidRDefault="00F54DC9" w:rsidP="00F54DC9">
      <w:pPr>
        <w:pStyle w:val="OriginalText"/>
      </w:pPr>
      <w:r>
        <w:lastRenderedPageBreak/>
        <w:t>[folio 1 verso]</w:t>
      </w:r>
    </w:p>
    <w:p w:rsidR="00F54DC9" w:rsidRDefault="00F54DC9" w:rsidP="00F54DC9">
      <w:pPr>
        <w:pStyle w:val="OriginalText"/>
      </w:pPr>
      <w:r>
        <w:t>5   Wat het vrij Bakken belangt, zulks wordt toegestaen, maer wegens</w:t>
      </w:r>
    </w:p>
    <w:p w:rsidR="00F54DC9" w:rsidRDefault="00F54DC9" w:rsidP="00F54DC9">
      <w:pPr>
        <w:pStyle w:val="OriginalText"/>
      </w:pPr>
      <w:r>
        <w:t>het Brouwen moeten alvoorens de beampte, en herbergiers gehoort</w:t>
      </w:r>
    </w:p>
    <w:p w:rsidR="00F54DC9" w:rsidRDefault="00F54DC9" w:rsidP="00F54DC9">
      <w:pPr>
        <w:pStyle w:val="OriginalText"/>
      </w:pPr>
      <w:r>
        <w:t>worden, alsdan met hun na billikheijdt zowel wegens het Bier brouwen</w:t>
      </w:r>
    </w:p>
    <w:p w:rsidR="00F54DC9" w:rsidRDefault="00F54DC9" w:rsidP="00F54DC9">
      <w:pPr>
        <w:pStyle w:val="OriginalText"/>
      </w:pPr>
      <w:r>
        <w:t>als over de drank zal gehandelt worden.</w:t>
      </w:r>
    </w:p>
    <w:p w:rsidR="00F54DC9" w:rsidRDefault="00F54DC9" w:rsidP="00F54DC9">
      <w:pPr>
        <w:pStyle w:val="OriginalText"/>
      </w:pPr>
      <w:r>
        <w:t>6   Wegens de Visscherÿ zal volgens de billikheÿt met hun gehandelt worden.</w:t>
      </w:r>
    </w:p>
    <w:p w:rsidR="00F54DC9" w:rsidRDefault="00F54DC9" w:rsidP="00F54DC9">
      <w:pPr>
        <w:pStyle w:val="OriginalText"/>
      </w:pPr>
      <w:r>
        <w:t>7   Jn diergelÿke gevallen is deese Landen een vrÿ Jaar gewoonelijk, maer</w:t>
      </w:r>
    </w:p>
    <w:p w:rsidR="00F54DC9" w:rsidRDefault="00F54DC9" w:rsidP="00F54DC9">
      <w:pPr>
        <w:pStyle w:val="OriginalText"/>
      </w:pPr>
      <w:r>
        <w:t>wil zÿn Koningl[ijke] Majest[eit] hun meerder Jaaren toestaen; zulks hangt</w:t>
      </w:r>
    </w:p>
    <w:p w:rsidR="00F54DC9" w:rsidRDefault="00F54DC9" w:rsidP="00F54DC9">
      <w:pPr>
        <w:pStyle w:val="OriginalText"/>
      </w:pPr>
      <w:r>
        <w:t>aen desselfs genade.</w:t>
      </w:r>
    </w:p>
    <w:p w:rsidR="00F54DC9" w:rsidRDefault="00F54DC9" w:rsidP="00F54DC9">
      <w:pPr>
        <w:pStyle w:val="OriginalText"/>
      </w:pPr>
      <w:r>
        <w:t>8   Ratione casuum Fortuitorum</w:t>
      </w:r>
      <w:r>
        <w:rPr>
          <w:rStyle w:val="FootnoteReference"/>
        </w:rPr>
        <w:footnoteReference w:id="8"/>
      </w:r>
      <w:r>
        <w:t xml:space="preserve"> zoude zÿn Koninkl[ijke] Majest[eit]</w:t>
      </w:r>
    </w:p>
    <w:p w:rsidR="00F54DC9" w:rsidRDefault="00F54DC9" w:rsidP="00F54DC9">
      <w:pPr>
        <w:pStyle w:val="OriginalText"/>
      </w:pPr>
      <w:r>
        <w:t>wel overnemen de schaadens door Oorlog, Pest, en Vuur van den Hemel,</w:t>
      </w:r>
    </w:p>
    <w:p w:rsidR="00F54DC9" w:rsidRDefault="00F54DC9" w:rsidP="00F54DC9">
      <w:pPr>
        <w:pStyle w:val="OriginalText"/>
      </w:pPr>
      <w:r>
        <w:t>maer de verdere ongelukkige gevallen, als sterfte van het Vee, overstroo-</w:t>
      </w:r>
    </w:p>
    <w:p w:rsidR="00F54DC9" w:rsidRDefault="00F54DC9" w:rsidP="00F54DC9">
      <w:pPr>
        <w:pStyle w:val="OriginalText"/>
      </w:pPr>
      <w:r>
        <w:t>ming, misgewas, hagelslagen, en diergelÿke zouden de huurders moeten</w:t>
      </w:r>
    </w:p>
    <w:p w:rsidR="00F54DC9" w:rsidRDefault="00F54DC9" w:rsidP="00F54DC9">
      <w:pPr>
        <w:pStyle w:val="OriginalText"/>
      </w:pPr>
      <w:r>
        <w:t>dragen, nademael uÿt aenmerking derselve de Jaerlÿkse huur daer na</w:t>
      </w:r>
    </w:p>
    <w:p w:rsidR="00F54DC9" w:rsidRDefault="00F54DC9" w:rsidP="00F54DC9">
      <w:pPr>
        <w:pStyle w:val="OriginalText"/>
      </w:pPr>
      <w:r>
        <w:t>kan gemaakt en gemodereert</w:t>
      </w:r>
      <w:r>
        <w:rPr>
          <w:rStyle w:val="FootnoteReference"/>
        </w:rPr>
        <w:footnoteReference w:id="9"/>
      </w:r>
      <w:r>
        <w:t xml:space="preserve"> worden.</w:t>
      </w:r>
    </w:p>
    <w:p w:rsidR="00F54DC9" w:rsidRDefault="00F54DC9" w:rsidP="00F54DC9">
      <w:pPr>
        <w:pStyle w:val="OriginalText"/>
      </w:pPr>
      <w:r>
        <w:t xml:space="preserve">9   Dewÿle dit </w:t>
      </w:r>
      <w:r>
        <w:fldChar w:fldCharType="begin"/>
      </w:r>
      <w:r>
        <w:instrText>xe "nonresistance"</w:instrText>
      </w:r>
      <w:r>
        <w:fldChar w:fldCharType="end"/>
      </w:r>
      <w:r>
        <w:t>teegens de gronden hunner Reliegie aanloopt, en Zÿ daerom</w:t>
      </w:r>
    </w:p>
    <w:p w:rsidR="00F54DC9" w:rsidRDefault="00F54DC9" w:rsidP="00F54DC9">
      <w:pPr>
        <w:pStyle w:val="OriginalText"/>
      </w:pPr>
      <w:r>
        <w:t>Zwitzerland verlaten hebben, Soo zal zÿne koningl[ijke] Majest[eit] hun verhoo-</w:t>
      </w:r>
    </w:p>
    <w:p w:rsidR="00F54DC9" w:rsidRDefault="00F54DC9" w:rsidP="00F54DC9">
      <w:pPr>
        <w:pStyle w:val="OriginalText"/>
      </w:pPr>
      <w:r>
        <w:t>pentlÿk daar van verschoonen.</w:t>
      </w:r>
    </w:p>
    <w:p w:rsidR="00F54DC9" w:rsidRDefault="00F54DC9" w:rsidP="00F54DC9">
      <w:pPr>
        <w:pStyle w:val="OriginalText"/>
      </w:pPr>
      <w:r>
        <w:t>10   Dit punct zal hen konnen toegestaen worden.</w:t>
      </w:r>
    </w:p>
    <w:p w:rsidR="00F54DC9" w:rsidRDefault="00F54DC9" w:rsidP="00F54DC9">
      <w:pPr>
        <w:pStyle w:val="OriginalText"/>
      </w:pPr>
      <w:r>
        <w:t xml:space="preserve">11   Dit zal hen wel zÿn toe te staen, dewÿle het reedts in de </w:t>
      </w:r>
      <w:r>
        <w:fldChar w:fldCharType="begin"/>
      </w:r>
      <w:r>
        <w:instrText>xe "Werders"</w:instrText>
      </w:r>
      <w:r>
        <w:fldChar w:fldCharType="end"/>
      </w:r>
      <w:r>
        <w:t>Werders, en</w:t>
      </w:r>
    </w:p>
    <w:p w:rsidR="00F54DC9" w:rsidRDefault="00F54DC9" w:rsidP="00F54DC9">
      <w:pPr>
        <w:pStyle w:val="OriginalText"/>
      </w:pPr>
      <w:r>
        <w:t>Hollanderÿen gebruÿkelijk is.</w:t>
      </w:r>
    </w:p>
    <w:p w:rsidR="00F54DC9" w:rsidRDefault="00F54DC9" w:rsidP="00F54DC9">
      <w:pPr>
        <w:pStyle w:val="OriginalText"/>
      </w:pPr>
      <w:r>
        <w:t>12   Het vrÿ verkoopen hunner Graanen en mondspÿs wordt hen volgens</w:t>
      </w:r>
    </w:p>
    <w:p w:rsidR="00F54DC9" w:rsidRDefault="00F54DC9" w:rsidP="00F54DC9">
      <w:pPr>
        <w:pStyle w:val="OriginalText"/>
      </w:pPr>
      <w:r>
        <w:t>Landts gebruijk toegestaen; maar bij aldien door zijn Koninkl[ijke] Majest[eit] een</w:t>
      </w:r>
    </w:p>
    <w:p w:rsidR="00F54DC9" w:rsidRDefault="00F54DC9" w:rsidP="00F54DC9">
      <w:pPr>
        <w:pStyle w:val="OriginalText"/>
      </w:pPr>
      <w:r>
        <w:t>Generael verbodt mogte gedaen worden, om diergelÿks niet uijt het Landt</w:t>
      </w:r>
    </w:p>
    <w:p w:rsidR="00F54DC9" w:rsidRDefault="00F54DC9" w:rsidP="00F54DC9">
      <w:pPr>
        <w:pStyle w:val="OriginalText"/>
      </w:pPr>
      <w:r>
        <w:t>te voeren, zouden Zÿ sig daer na moeten voegen. Ook konnen Zÿ sig de beta-</w:t>
      </w:r>
    </w:p>
    <w:p w:rsidR="00F54DC9" w:rsidRDefault="00F54DC9" w:rsidP="00F54DC9">
      <w:pPr>
        <w:pStyle w:val="OriginalText"/>
      </w:pPr>
      <w:r>
        <w:t>ling der Tol niet onttrekken.</w:t>
      </w:r>
    </w:p>
    <w:p w:rsidR="00F54DC9" w:rsidRDefault="00F54DC9" w:rsidP="00F54DC9">
      <w:pPr>
        <w:pStyle w:val="OriginalText"/>
      </w:pPr>
      <w:r>
        <w:t>13   Deese aenbieding word aengenomen en zal dienvolgens met de Priesters</w:t>
      </w:r>
    </w:p>
    <w:p w:rsidR="00F54DC9" w:rsidRDefault="00F54DC9" w:rsidP="00F54DC9">
      <w:pPr>
        <w:pStyle w:val="OriginalText"/>
      </w:pPr>
      <w:r>
        <w:t>gereguleert worden.</w:t>
      </w:r>
    </w:p>
    <w:p w:rsidR="00F54DC9" w:rsidRDefault="00F54DC9" w:rsidP="00F54DC9">
      <w:pPr>
        <w:pStyle w:val="OriginalText"/>
      </w:pPr>
      <w:r>
        <w:t>14   De Huur zal in diervoegen gemaakt woorden [sic] dat bij de aen te nemene</w:t>
      </w:r>
    </w:p>
    <w:p w:rsidR="00F54DC9" w:rsidRDefault="00F54DC9" w:rsidP="00F54DC9">
      <w:pPr>
        <w:pStyle w:val="OriginalText"/>
      </w:pPr>
      <w:r>
        <w:t>Landerÿen, men ’t geene zÿn Koninkl[ijke] Majest[eit] daervan tot nu toe genoten</w:t>
      </w:r>
    </w:p>
    <w:p w:rsidR="00F54DC9" w:rsidRDefault="00F54DC9" w:rsidP="00F54DC9">
      <w:pPr>
        <w:pStyle w:val="OriginalText"/>
      </w:pPr>
      <w:r>
        <w:t>heeft, tot een fondament stelt, en de huur daer na zal gereguleert worden.</w:t>
      </w:r>
    </w:p>
    <w:p w:rsidR="00F54DC9" w:rsidRDefault="00F54DC9" w:rsidP="00F54DC9">
      <w:pPr>
        <w:pStyle w:val="OriginalText"/>
      </w:pPr>
      <w:r>
        <w:t xml:space="preserve">   Maar dewÿl de Gedeputeerde[n] nog niet regt kunnen bepalen, welke plaats</w:t>
      </w:r>
    </w:p>
    <w:p w:rsidR="00F54DC9" w:rsidRDefault="00F54DC9" w:rsidP="00F54DC9">
      <w:pPr>
        <w:pStyle w:val="OriginalText"/>
      </w:pPr>
      <w:r>
        <w:t>Zÿ tot hun ter neder setting willen uÿt kiesen, en van meening zÿn om</w:t>
      </w:r>
    </w:p>
    <w:p w:rsidR="00F54DC9" w:rsidRDefault="00F54DC9" w:rsidP="00F54DC9">
      <w:pPr>
        <w:pStyle w:val="OriginalText"/>
      </w:pPr>
      <w:r>
        <w:t>behalve het besigtigde Ampt Kuckerneese nog andere plaatsen te be-</w:t>
      </w:r>
    </w:p>
    <w:p w:rsidR="00F54DC9" w:rsidRDefault="00F54DC9" w:rsidP="00F54DC9">
      <w:pPr>
        <w:pStyle w:val="OriginalText"/>
      </w:pPr>
      <w:r>
        <w:t>sien; Zÿ ook om iets soeken Ratione Canonis</w:t>
      </w:r>
      <w:r>
        <w:rPr>
          <w:rStyle w:val="FootnoteReference"/>
        </w:rPr>
        <w:footnoteReference w:id="10"/>
      </w:r>
      <w:r>
        <w:t xml:space="preserve"> zig te verklaren, beschroomt</w:t>
      </w:r>
    </w:p>
    <w:p w:rsidR="00F54DC9" w:rsidRDefault="00F54DC9" w:rsidP="00F54DC9">
      <w:pPr>
        <w:pStyle w:val="OriginalText"/>
      </w:pPr>
      <w:r>
        <w:t>[folio 2 recto]</w:t>
      </w:r>
    </w:p>
    <w:p w:rsidR="00F54DC9" w:rsidRDefault="00F54DC9" w:rsidP="00F54DC9">
      <w:pPr>
        <w:pStyle w:val="OriginalText"/>
      </w:pPr>
      <w:r>
        <w:t>zÿn, alvoorens Zÿ met hunne mede Broederen hier over hebben beraadt</w:t>
      </w:r>
    </w:p>
    <w:p w:rsidR="00F54DC9" w:rsidRDefault="00F54DC9" w:rsidP="00F54DC9">
      <w:pPr>
        <w:pStyle w:val="OriginalText"/>
      </w:pPr>
      <w:r>
        <w:t>genoomen, Soo heeft voor tegenwoordig hier over niets meerder konnen ge-</w:t>
      </w:r>
    </w:p>
    <w:p w:rsidR="00F54DC9" w:rsidRDefault="00F54DC9" w:rsidP="00F54DC9">
      <w:pPr>
        <w:pStyle w:val="OriginalText"/>
      </w:pPr>
      <w:r>
        <w:t>schieden. Maer ondertussen zal even wel het beloop van de drie voorwer-</w:t>
      </w:r>
    </w:p>
    <w:p w:rsidR="00F54DC9" w:rsidRDefault="00F54DC9" w:rsidP="00F54DC9">
      <w:pPr>
        <w:pStyle w:val="OriginalText"/>
      </w:pPr>
      <w:r>
        <w:t>ken Neusorge Oud en Nieuw Schopen benevens de Schaarwerks</w:t>
      </w:r>
      <w:r>
        <w:rPr>
          <w:rStyle w:val="FootnoteReference"/>
        </w:rPr>
        <w:footnoteReference w:id="11"/>
      </w:r>
    </w:p>
    <w:p w:rsidR="00F54DC9" w:rsidRDefault="00F54DC9" w:rsidP="00F54DC9">
      <w:pPr>
        <w:pStyle w:val="OriginalText"/>
      </w:pPr>
      <w:r>
        <w:lastRenderedPageBreak/>
        <w:t>dorpen daer bÿ behoorende, en daer bÿ gelegen zijn, aen de Gedeputeerde[n]</w:t>
      </w:r>
    </w:p>
    <w:p w:rsidR="00F54DC9" w:rsidRDefault="00F54DC9" w:rsidP="00F54DC9">
      <w:pPr>
        <w:pStyle w:val="OriginalText"/>
      </w:pPr>
      <w:r>
        <w:t>gecommuniceert worden; en wanneer Zÿ nog eenige andere plaatsen mogte[n]</w:t>
      </w:r>
    </w:p>
    <w:p w:rsidR="00F54DC9" w:rsidRDefault="00F54DC9" w:rsidP="00F54DC9">
      <w:pPr>
        <w:pStyle w:val="OriginalText"/>
      </w:pPr>
      <w:r>
        <w:t>voorslaen, daervan insgelijks een overslag</w:t>
      </w:r>
      <w:r>
        <w:rPr>
          <w:rStyle w:val="FootnoteReference"/>
        </w:rPr>
        <w:footnoteReference w:id="12"/>
      </w:r>
      <w:r>
        <w:t xml:space="preserve"> gemaakt, en aen hun over gelevert</w:t>
      </w:r>
    </w:p>
    <w:p w:rsidR="00F54DC9" w:rsidRDefault="00F54DC9" w:rsidP="00F54DC9">
      <w:pPr>
        <w:pStyle w:val="OriginalText"/>
      </w:pPr>
      <w:r>
        <w:t>worden.</w:t>
      </w:r>
    </w:p>
    <w:p w:rsidR="00F54DC9" w:rsidRDefault="00F54DC9" w:rsidP="00F54DC9">
      <w:pPr>
        <w:pStyle w:val="OriginalText"/>
      </w:pPr>
      <w:r>
        <w:t xml:space="preserve">   Hiernevens hebben de Gedeputeerde sig verklaart dat se het Vee</w:t>
      </w:r>
    </w:p>
    <w:p w:rsidR="00F54DC9" w:rsidRDefault="00F54DC9" w:rsidP="00F54DC9">
      <w:pPr>
        <w:pStyle w:val="OriginalText"/>
      </w:pPr>
      <w:r>
        <w:t>op de voorwerken, volgens de Jnventaris, tot een billike prÿs zullen koo-</w:t>
      </w:r>
    </w:p>
    <w:p w:rsidR="00F54DC9" w:rsidRDefault="00F54DC9" w:rsidP="00F54DC9">
      <w:pPr>
        <w:pStyle w:val="OriginalText"/>
      </w:pPr>
      <w:r>
        <w:t>pen, en het Saat om te Zaaÿen, uijt hun eÿgen middelen leveren.</w:t>
      </w:r>
    </w:p>
    <w:p w:rsidR="00F54DC9" w:rsidRDefault="00F54DC9" w:rsidP="00F54DC9">
      <w:pPr>
        <w:pStyle w:val="OriginalText"/>
      </w:pPr>
      <w:r>
        <w:tab/>
      </w:r>
      <w:r>
        <w:tab/>
      </w:r>
      <w:r>
        <w:tab/>
      </w:r>
      <w:r>
        <w:tab/>
      </w:r>
      <w:r>
        <w:tab/>
        <w:t>Actum ut Supra</w:t>
      </w:r>
      <w:r>
        <w:rPr>
          <w:rStyle w:val="FootnoteReference"/>
        </w:rPr>
        <w:footnoteReference w:id="13"/>
      </w:r>
    </w:p>
    <w:p w:rsidR="0084002E" w:rsidRDefault="00F54DC9" w:rsidP="00F54DC9">
      <w:pPr>
        <w:pStyle w:val="OriginalText"/>
      </w:pPr>
      <w:r>
        <w:tab/>
      </w:r>
      <w:r>
        <w:tab/>
      </w:r>
      <w:r>
        <w:tab/>
      </w:r>
      <w:r>
        <w:tab/>
      </w:r>
      <w:r>
        <w:tab/>
      </w:r>
      <w:r>
        <w:fldChar w:fldCharType="begin"/>
      </w:r>
      <w:r>
        <w:instrText>xe "Lilienthal, Andrea"</w:instrText>
      </w:r>
      <w:r>
        <w:fldChar w:fldCharType="end"/>
      </w:r>
      <w:r>
        <w:t>Andrea Lilie</w:t>
      </w:r>
      <w:bookmarkStart w:id="0" w:name="_GoBack"/>
      <w:bookmarkEnd w:id="0"/>
      <w:r>
        <w:t>nthal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54DC9" w:rsidRDefault="00F54DC9" w:rsidP="00F54DC9">
      <w:pPr>
        <w:pStyle w:val="FootnoteTextTwo"/>
      </w:pPr>
      <w:r>
        <w:rPr>
          <w:vertAlign w:val="superscript"/>
        </w:rPr>
        <w:footnoteRef/>
      </w:r>
      <w:r>
        <w:rPr>
          <w:rStyle w:val="ChapterNumberforFootnote"/>
        </w:rPr>
        <w:t>191</w:t>
      </w:r>
      <w:r>
        <w:tab/>
      </w:r>
      <w:r>
        <w:rPr>
          <w:rStyle w:val="FootnoteReference"/>
        </w:rPr>
        <w:tab/>
      </w:r>
      <w:r>
        <w:t xml:space="preserve">This is A 1346 from the De Hoop Scheffer </w:t>
      </w:r>
      <w:r>
        <w:rPr>
          <w:rStyle w:val="Italics"/>
        </w:rPr>
        <w:t>Inventaris</w:t>
      </w:r>
      <w:r>
        <w:t>.</w:t>
      </w:r>
    </w:p>
    <w:p w:rsidR="00F54DC9" w:rsidRDefault="00F54DC9" w:rsidP="00F54DC9">
      <w:pPr>
        <w:pStyle w:val="FootnoteTextTwo"/>
      </w:pPr>
    </w:p>
  </w:footnote>
  <w:footnote w:id="4">
    <w:p w:rsidR="00F54DC9" w:rsidRDefault="00F54DC9" w:rsidP="00F54DC9">
      <w:pPr>
        <w:pStyle w:val="Footnote-OneDigit"/>
      </w:pPr>
      <w:r>
        <w:rPr>
          <w:vertAlign w:val="superscript"/>
        </w:rPr>
        <w:footnoteRef/>
      </w:r>
      <w:r>
        <w:tab/>
        <w:t>“at the home of” (Latin).</w:t>
      </w:r>
    </w:p>
    <w:p w:rsidR="00F54DC9" w:rsidRDefault="00F54DC9" w:rsidP="00F54DC9">
      <w:pPr>
        <w:pStyle w:val="Footnote-OneDigit"/>
      </w:pPr>
    </w:p>
  </w:footnote>
  <w:footnote w:id="5">
    <w:p w:rsidR="00F54DC9" w:rsidRDefault="00F54DC9" w:rsidP="00F54DC9">
      <w:pPr>
        <w:pStyle w:val="Footnote-OneDigit"/>
      </w:pPr>
      <w:r>
        <w:rPr>
          <w:vertAlign w:val="superscript"/>
        </w:rPr>
        <w:footnoteRef/>
      </w:r>
      <w:r>
        <w:tab/>
        <w:t>The Dutch word is an adjective form of “count.”</w:t>
      </w:r>
    </w:p>
    <w:p w:rsidR="00F54DC9" w:rsidRDefault="00F54DC9" w:rsidP="00F54DC9">
      <w:pPr>
        <w:pStyle w:val="Footnote-OneDigit"/>
      </w:pPr>
    </w:p>
  </w:footnote>
  <w:footnote w:id="6">
    <w:p w:rsidR="00F54DC9" w:rsidRDefault="00F54DC9" w:rsidP="00F54DC9">
      <w:pPr>
        <w:pStyle w:val="FirstFootnoteinColumnLine"/>
      </w:pPr>
      <w:r>
        <w:rPr>
          <w:vertAlign w:val="superscript"/>
        </w:rPr>
        <w:footnoteRef/>
      </w:r>
      <w:r>
        <w:tab/>
        <w:t>“afzonderlijk gelegen boerderijen met land, behorend bij een ander landgoed of boerderij,” “farms with land located separately, belonging to another estate or farm” (</w:t>
      </w:r>
      <w:r>
        <w:rPr>
          <w:rStyle w:val="Italics"/>
        </w:rPr>
        <w:t>WNT</w:t>
      </w:r>
      <w:r>
        <w:t xml:space="preserve"> XXII (20, 1002, voorwerk (I)). </w:t>
      </w:r>
    </w:p>
    <w:p w:rsidR="00F54DC9" w:rsidRDefault="00F54DC9" w:rsidP="00F54DC9">
      <w:pPr>
        <w:pStyle w:val="FirstFootnoteinColumnLine"/>
      </w:pPr>
    </w:p>
  </w:footnote>
  <w:footnote w:id="7">
    <w:p w:rsidR="00F54DC9" w:rsidRDefault="00F54DC9" w:rsidP="00F54DC9">
      <w:pPr>
        <w:pStyle w:val="Footnote-OneDigit"/>
      </w:pPr>
      <w:r>
        <w:rPr>
          <w:vertAlign w:val="superscript"/>
        </w:rPr>
        <w:footnoteRef/>
      </w:r>
      <w:r>
        <w:tab/>
        <w:t xml:space="preserve">The term </w:t>
      </w:r>
      <w:r>
        <w:fldChar w:fldCharType="begin"/>
      </w:r>
      <w:r>
        <w:rPr>
          <w:rStyle w:val="FootnoteReference"/>
        </w:rPr>
        <w:instrText>xe "Holländerei"</w:instrText>
      </w:r>
      <w:r>
        <w:fldChar w:fldCharType="end"/>
      </w:r>
      <w:r>
        <w:t>Holländerei originally referred to settlements or colonies in reclaimed marsh lands in Northern Prussia, Poland, and Lithuania, founded and cultivated by farmers from the Low Countries, including Flanders, since the 13</w:t>
      </w:r>
      <w:r>
        <w:rPr>
          <w:rStyle w:val="FootnoteReference"/>
        </w:rPr>
        <w:t>th</w:t>
      </w:r>
      <w:r>
        <w:t xml:space="preserve"> and 14</w:t>
      </w:r>
      <w:r>
        <w:rPr>
          <w:rStyle w:val="FootnoteReference"/>
        </w:rPr>
        <w:t>th</w:t>
      </w:r>
      <w:r>
        <w:t xml:space="preserve"> centuries.  In this 1711 statement, it is more likely that reference is made to the (Dutch) Mennonite settlements in the </w:t>
      </w:r>
      <w:r>
        <w:fldChar w:fldCharType="begin"/>
      </w:r>
      <w:r>
        <w:rPr>
          <w:rStyle w:val="FootnoteReference"/>
        </w:rPr>
        <w:instrText>xe "Werders"</w:instrText>
      </w:r>
      <w:r>
        <w:fldChar w:fldCharType="end"/>
      </w:r>
      <w:r>
        <w:t>Werders of the Vistula Delta, which were self-governed and accorded similar civil structures and religious privileges.  Thanks to Piet Visser for this information.</w:t>
      </w:r>
    </w:p>
    <w:p w:rsidR="00F54DC9" w:rsidRDefault="00F54DC9" w:rsidP="00F54DC9">
      <w:pPr>
        <w:pStyle w:val="Footnote-OneDigit"/>
      </w:pPr>
    </w:p>
  </w:footnote>
  <w:footnote w:id="8">
    <w:p w:rsidR="00F54DC9" w:rsidRDefault="00F54DC9" w:rsidP="00F54DC9">
      <w:pPr>
        <w:pStyle w:val="FirstFootnoteinColumnLine"/>
      </w:pPr>
      <w:r>
        <w:rPr>
          <w:vertAlign w:val="superscript"/>
        </w:rPr>
        <w:footnoteRef/>
      </w:r>
      <w:r>
        <w:tab/>
        <w:t>“concerning accidental happenings” (Latin).</w:t>
      </w:r>
    </w:p>
    <w:p w:rsidR="00F54DC9" w:rsidRDefault="00F54DC9" w:rsidP="00F54DC9">
      <w:pPr>
        <w:pStyle w:val="FirstFootnoteinColumnLine"/>
      </w:pPr>
    </w:p>
  </w:footnote>
  <w:footnote w:id="9">
    <w:p w:rsidR="00F54DC9" w:rsidRDefault="00F54DC9" w:rsidP="00F54DC9">
      <w:pPr>
        <w:pStyle w:val="Footnote-OneDigit"/>
      </w:pPr>
      <w:r>
        <w:rPr>
          <w:vertAlign w:val="superscript"/>
        </w:rPr>
        <w:footnoteRef/>
      </w:r>
      <w:r>
        <w:tab/>
        <w:t>“gematigd, beperkt.”</w:t>
      </w:r>
    </w:p>
    <w:p w:rsidR="00F54DC9" w:rsidRDefault="00F54DC9" w:rsidP="00F54DC9">
      <w:pPr>
        <w:pStyle w:val="Footnote-OneDigit"/>
      </w:pPr>
    </w:p>
  </w:footnote>
  <w:footnote w:id="10">
    <w:p w:rsidR="00F54DC9" w:rsidRDefault="00F54DC9" w:rsidP="00F54DC9">
      <w:pPr>
        <w:pStyle w:val="Footnote-OneDigit"/>
      </w:pPr>
      <w:r>
        <w:rPr>
          <w:vertAlign w:val="superscript"/>
        </w:rPr>
        <w:footnoteRef/>
      </w:r>
      <w:r>
        <w:tab/>
        <w:t>“principle of harmony, according to discipline” (Latin).</w:t>
      </w:r>
    </w:p>
    <w:p w:rsidR="00F54DC9" w:rsidRDefault="00F54DC9" w:rsidP="00F54DC9">
      <w:pPr>
        <w:pStyle w:val="Footnote-OneDigit"/>
      </w:pPr>
    </w:p>
  </w:footnote>
  <w:footnote w:id="11">
    <w:p w:rsidR="00F54DC9" w:rsidRDefault="00F54DC9" w:rsidP="00F54DC9">
      <w:pPr>
        <w:pStyle w:val="Footnote-OneDigit"/>
      </w:pPr>
      <w:r>
        <w:rPr>
          <w:vertAlign w:val="superscript"/>
        </w:rPr>
        <w:footnoteRef/>
      </w:r>
      <w:r>
        <w:tab/>
        <w:t>schaar, in dit geval, mogelijk in de betekenis van” eenheid van aandeel in het bezit van een gemeenschap aan weide of bos,” perhaps used in the sense of “common share in the community’s ownership of meadows and woods” (</w:t>
      </w:r>
      <w:r>
        <w:rPr>
          <w:rStyle w:val="Italics"/>
        </w:rPr>
        <w:t>WNT</w:t>
      </w:r>
      <w:r>
        <w:t xml:space="preserve"> XIV, 160, ‘schaar (IV)’).</w:t>
      </w:r>
    </w:p>
    <w:p w:rsidR="00F54DC9" w:rsidRDefault="00F54DC9" w:rsidP="00F54DC9">
      <w:pPr>
        <w:pStyle w:val="Footnote-OneDigit"/>
      </w:pPr>
    </w:p>
  </w:footnote>
  <w:footnote w:id="12">
    <w:p w:rsidR="00F54DC9" w:rsidRDefault="00F54DC9" w:rsidP="00F54DC9">
      <w:pPr>
        <w:pStyle w:val="Footnote-TwoDigit"/>
      </w:pPr>
      <w:r>
        <w:rPr>
          <w:vertAlign w:val="superscript"/>
        </w:rPr>
        <w:footnoteRef/>
      </w:r>
      <w:r>
        <w:tab/>
        <w:t>“raming.”</w:t>
      </w:r>
    </w:p>
    <w:p w:rsidR="00F54DC9" w:rsidRDefault="00F54DC9" w:rsidP="00F54DC9">
      <w:pPr>
        <w:pStyle w:val="Footnote-TwoDigit"/>
      </w:pPr>
    </w:p>
  </w:footnote>
  <w:footnote w:id="13">
    <w:p w:rsidR="00F54DC9" w:rsidRDefault="00F54DC9" w:rsidP="00F54DC9">
      <w:pPr>
        <w:pStyle w:val="TwoDigitFirstFootnoteinColumnLine"/>
      </w:pPr>
      <w:r>
        <w:rPr>
          <w:vertAlign w:val="superscript"/>
        </w:rPr>
        <w:footnoteRef/>
      </w:r>
      <w:r>
        <w:tab/>
        <w:t>“done as above” (Latin).</w:t>
      </w:r>
    </w:p>
    <w:p w:rsidR="00F54DC9" w:rsidRDefault="00F54DC9" w:rsidP="00F54DC9">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54DC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54DC9"/>
    <w:rPr>
      <w:w w:val="100"/>
      <w:vertAlign w:val="superscript"/>
    </w:rPr>
  </w:style>
  <w:style w:type="paragraph" w:customStyle="1" w:styleId="OriginalText">
    <w:name w:val="Original Text"/>
    <w:basedOn w:val="Normal"/>
    <w:uiPriority w:val="99"/>
    <w:rsid w:val="00F54DC9"/>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customStyle="1" w:styleId="FootnoteTextTwo">
    <w:name w:val="Footnote Text Two"/>
    <w:basedOn w:val="Normal"/>
    <w:uiPriority w:val="99"/>
    <w:rsid w:val="00F54DC9"/>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F54DC9"/>
    <w:rPr>
      <w:sz w:val="20"/>
      <w:szCs w:val="20"/>
      <w:vertAlign w:val="baseline"/>
    </w:rPr>
  </w:style>
  <w:style w:type="character" w:customStyle="1" w:styleId="Italics">
    <w:name w:val="Italics"/>
    <w:uiPriority w:val="99"/>
    <w:rsid w:val="00F54DC9"/>
    <w:rPr>
      <w:i/>
      <w:iCs/>
    </w:rPr>
  </w:style>
  <w:style w:type="paragraph" w:customStyle="1" w:styleId="Footnote-OneDigit">
    <w:name w:val="Footnote-One Digit"/>
    <w:basedOn w:val="Normal"/>
    <w:uiPriority w:val="99"/>
    <w:rsid w:val="00F54DC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54DC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F54DC9"/>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F54DC9"/>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