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12, </w:t>
      </w:r>
      <w:r>
        <w:t xml:space="preserve">13 March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74-76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13 March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Witsen, Johannes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Vicq, Nicolas de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[The Hague, Netherlands]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5B1E7D" w:rsidRDefault="005B1E7D" w:rsidP="005B1E7D">
      <w:pPr>
        <w:pStyle w:val="FirstParagraph"/>
      </w:pPr>
      <w:r>
        <w:t>12.  March 13, 1710.</w:t>
      </w:r>
      <w:r>
        <w:rPr>
          <w:rStyle w:val="FootnoteReference"/>
        </w:rPr>
        <w:footnoteReference w:id="3"/>
      </w:r>
      <w:r>
        <w:t> </w:t>
      </w:r>
    </w:p>
    <w:p w:rsidR="005B1E7D" w:rsidRDefault="005B1E7D" w:rsidP="005B1E7D">
      <w:pPr>
        <w:pStyle w:val="OriginalText"/>
        <w:rPr>
          <w:sz w:val="20"/>
          <w:szCs w:val="20"/>
        </w:rPr>
      </w:pP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[recto]</w:t>
      </w:r>
    </w:p>
    <w:p w:rsidR="005B1E7D" w:rsidRDefault="005B1E7D" w:rsidP="005B1E7D">
      <w:pPr>
        <w:pStyle w:val="OriginalText"/>
        <w:rPr>
          <w:sz w:val="20"/>
          <w:szCs w:val="20"/>
        </w:rPr>
      </w:pP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Copia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Deesen 13 maert 1710.</w:t>
      </w:r>
    </w:p>
    <w:p w:rsidR="005B1E7D" w:rsidRDefault="005B1E7D" w:rsidP="005B1E7D">
      <w:pPr>
        <w:pStyle w:val="OriginalText"/>
        <w:rPr>
          <w:sz w:val="20"/>
          <w:szCs w:val="20"/>
        </w:rPr>
      </w:pP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Wel Edele Gestrenge Heer.</w:t>
      </w:r>
    </w:p>
    <w:p w:rsidR="005B1E7D" w:rsidRDefault="005B1E7D" w:rsidP="005B1E7D">
      <w:pPr>
        <w:pStyle w:val="OriginalText"/>
        <w:rPr>
          <w:sz w:val="20"/>
          <w:szCs w:val="20"/>
        </w:rPr>
      </w:pP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Aan ons is voorgedragen door eenige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"Bern, Canton of:persecution by, 1710"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"Committee for Foreign Needs:appeals to States General"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gecommitteerdens, van wegen de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Mennoniten gemeentens hier te lande, hoe dat zij door veele brieven en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sekere berigten geadveteert waren, dat hunne geloofs genoten jn swit-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serland, en spetiael jnt Canton Bern jegenwoordig met seer sware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[ver]volgingh over het beleven hunner Religie werden gedrukt, sodanig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dat er althans een groot getal Personen soo mannen als vrouwen jn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verschijden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"Anabaptists in Bern:prisoners"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gevangen huijsen waren op gesloten, die behalven de min-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dere straffen, met Banninge op de Galijen, Ja met de dood selve, wierden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gedrijgt, welke vervolgingh en harde proceduren steunende waren op de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positiven vermelt jn het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"edict:of 1695"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Placcaet bij de H[ere]n van Bern sub datis</w:t>
      </w:r>
      <w:r>
        <w:rPr>
          <w:rStyle w:val="FootnoteReference"/>
          <w:sz w:val="20"/>
          <w:szCs w:val="20"/>
        </w:rPr>
        <w:footnoteReference w:id="4"/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20. 22. 25 en 27 Feb[ruari] 1695, gedaen emaneren en aldaer gebragt tot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"Anabaptists in Bern:reasons for persecution"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drij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hooftpoincten, namentlijk, dat sij souden ontkennen, het ampt der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overigheijd van en met God te sijn, mitsgaders dat sij wijgerden den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gewonelijke trouwe met een Eed te beloven, ende het land jn tijd van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nood met wapenen te [ver]dedigen. Daer nevens ootmoedelijk versoekende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dat het ons gelieven mogte, met onze genegene directie te ondersteunen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 jnstantien die de voorz[eide] gemeentens uijt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"brotherly love"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Broederlyke pligt en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mededogen over hunne geloofsgenoten voornemens waren bij de staat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te laten doen, om door hare Favorabele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"intercession by States General"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jntercessie bij die van Bern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niet alleen surchancie</w:t>
      </w:r>
      <w:r>
        <w:rPr>
          <w:rStyle w:val="FootnoteReference"/>
          <w:sz w:val="20"/>
          <w:szCs w:val="20"/>
        </w:rPr>
        <w:footnoteReference w:id="5"/>
      </w:r>
      <w:r>
        <w:rPr>
          <w:sz w:val="20"/>
          <w:szCs w:val="20"/>
        </w:rPr>
        <w:t xml:space="preserve"> van de gedreijgde executie van’t voorz[eide] plac-</w:t>
      </w:r>
    </w:p>
    <w:p w:rsidR="005B1E7D" w:rsidRDefault="005B1E7D" w:rsidP="005B1E7D">
      <w:pPr>
        <w:pStyle w:val="OriginalText"/>
        <w:rPr>
          <w:w w:val="97"/>
          <w:sz w:val="20"/>
          <w:szCs w:val="20"/>
        </w:rPr>
      </w:pPr>
      <w:r>
        <w:rPr>
          <w:w w:val="97"/>
          <w:sz w:val="20"/>
          <w:szCs w:val="20"/>
        </w:rPr>
        <w:t>caet, maer ook der selver verdere genadige behandelingh te mogen [ver]wachte[n].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Wij vinden, op dit vertoog en versoek, Wel Ed[e]l gestrenge heer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ons gantz niet ongeneegen de voorz[eide] jntercessie van den staat, soo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veel jn ons is, te helpen bevorderen, en geoordeelt hebbende, de korste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en prompste weg daer toe te sullen sijn, dat de gecommitteerdens der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w w:val="98"/>
          <w:sz w:val="18"/>
          <w:szCs w:val="18"/>
        </w:rPr>
        <w:t>voorzijde gemeentens Zig directelyk komen te adresseren aan haar Hoogm[ogenden]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hebben wij hen ten dit Fine ook wel willen voorsien, met onse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recommandatie aan uw E[del] wel Ed[e]l gestr[engheden].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Zij sullen dan tragten de Eere te hebben, van deese aan uw wel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Ed[e]l gestr[enge] te overhandigen, en daer nevens ook te presenteren een exem-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plaer van het bovengem[e]lt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"edict:of 1695"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placcaet jn de nederduijtse Tale, mitsgaders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een korte deductie</w:t>
      </w:r>
      <w:r>
        <w:rPr>
          <w:rStyle w:val="FootnoteReference"/>
          <w:sz w:val="18"/>
          <w:szCs w:val="18"/>
        </w:rPr>
        <w:footnoteReference w:id="6"/>
      </w:r>
      <w:r>
        <w:rPr>
          <w:sz w:val="18"/>
          <w:szCs w:val="18"/>
        </w:rPr>
        <w:t xml:space="preserve"> bij henlieden opgestelt, tot eerbiedige verdedigingh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aan</w:t>
      </w:r>
      <w:r>
        <w:rPr>
          <w:rStyle w:val="FootnoteReference"/>
          <w:sz w:val="18"/>
          <w:szCs w:val="18"/>
        </w:rPr>
        <w:footnoteReference w:id="7"/>
      </w:r>
      <w:r>
        <w:rPr>
          <w:sz w:val="18"/>
          <w:szCs w:val="18"/>
        </w:rPr>
        <w:t xml:space="preserve"> den Heere Nicolaas de Viq, scheepen der stad amsterd[a]m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althans van wegen de Provintie van Holland en Westvriesland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gecommitteerde jnt College der hoogmogende heren Staten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Generael der vereenigde nederlanden.</w:t>
      </w:r>
      <w:r>
        <w:rPr>
          <w:sz w:val="18"/>
          <w:szCs w:val="18"/>
        </w:rPr>
        <w:tab/>
        <w:t>jn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 Gravenhagen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[verso]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Van’t gene hunne verdrukte geloofsgenoten, by dat placcaet te lasten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werd gelegt, op dat uw Ed[e]l gestr[enge] het een, en het ander gelieft hebbende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na te sien, van de sake jn ’t brede mogen sijn gejnformeert.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En sullen aan ons seer aangenaam weesen, de goede officien die uw Ed[e]l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w w:val="96"/>
          <w:sz w:val="18"/>
          <w:szCs w:val="18"/>
        </w:rPr>
        <w:t>gestr[enge] gelieven sal te passeren, ten eijnde de voorz[eide] gecommitteerdens als dese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zaake ter General[itei]t voort komt, met de te versoekende jntresse van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haar Hoogm[ogenden] jn de meest favorabele en permoverende termen, spoediglyk 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begunstigt mogt werden, welkers goeden uijtslag ook willende ver-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hopen, Wij [ver]blijven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Wel Edele Gestrenge Heer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uw wel Ed[e]l gestreng[hede]ns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goede vrinden  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"Amsterdam, mayors of"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Burgermeesteren en Regeerders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der stad Amsterdam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Ter ordinantie van deselve was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geteek[e]nt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Jo[hanne]s Witsen.</w:t>
      </w:r>
    </w:p>
    <w:p w:rsidR="005B1E7D" w:rsidRDefault="005B1E7D" w:rsidP="005B1E7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Brief</w:t>
      </w:r>
      <w:r>
        <w:rPr>
          <w:rStyle w:val="FootnoteReference"/>
          <w:sz w:val="21"/>
          <w:szCs w:val="21"/>
        </w:rPr>
        <w:footnoteReference w:id="8"/>
      </w:r>
      <w:r>
        <w:rPr>
          <w:sz w:val="21"/>
          <w:szCs w:val="21"/>
        </w:rPr>
        <w:t xml:space="preserve"> van Burgermeesteren van Amsterdam</w:t>
      </w:r>
    </w:p>
    <w:p w:rsidR="005B1E7D" w:rsidRDefault="005B1E7D" w:rsidP="005B1E7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aan den H[ee]r de Vicq a ’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"Hague, The (’s Gravenhage)"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 Gravenhage dato 13</w:t>
      </w:r>
    </w:p>
    <w:p w:rsidR="005B1E7D" w:rsidRDefault="005B1E7D" w:rsidP="005B1E7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Maert 1710.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5B1E7D" w:rsidRDefault="005B1E7D" w:rsidP="005B1E7D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12</w:t>
      </w:r>
      <w:r>
        <w:rPr>
          <w:rStyle w:val="ChapterNumberforFootnote"/>
        </w:rPr>
        <w:tab/>
      </w:r>
      <w:r>
        <w:rPr>
          <w:rStyle w:val="FootnoteReference"/>
        </w:rPr>
        <w:tab/>
      </w:r>
      <w:r>
        <w:t>This is A 1757 from the De Hoop Scheffer Inventaris.</w:t>
      </w:r>
    </w:p>
    <w:p w:rsidR="005B1E7D" w:rsidRDefault="005B1E7D" w:rsidP="005B1E7D">
      <w:pPr>
        <w:pStyle w:val="FootnoteText"/>
      </w:pPr>
    </w:p>
  </w:footnote>
  <w:footnote w:id="4">
    <w:p w:rsidR="005B1E7D" w:rsidRDefault="005B1E7D" w:rsidP="005B1E7D">
      <w:pPr>
        <w:pStyle w:val="Footnote-OneDigit"/>
      </w:pPr>
      <w:r>
        <w:rPr>
          <w:vertAlign w:val="superscript"/>
        </w:rPr>
        <w:footnoteRef/>
      </w:r>
      <w:r>
        <w:tab/>
        <w:t>“under the dates,” (Latin).</w:t>
      </w:r>
    </w:p>
    <w:p w:rsidR="005B1E7D" w:rsidRDefault="005B1E7D" w:rsidP="005B1E7D">
      <w:pPr>
        <w:pStyle w:val="Footnote-OneDigit"/>
      </w:pPr>
    </w:p>
  </w:footnote>
  <w:footnote w:id="5">
    <w:p w:rsidR="005B1E7D" w:rsidRDefault="005B1E7D" w:rsidP="005B1E7D">
      <w:pPr>
        <w:pStyle w:val="Footnote-OneDigit"/>
      </w:pPr>
      <w:r>
        <w:rPr>
          <w:vertAlign w:val="superscript"/>
        </w:rPr>
        <w:footnoteRef/>
      </w:r>
      <w:r>
        <w:tab/>
        <w:t xml:space="preserve">From French, </w:t>
      </w:r>
      <w:r>
        <w:rPr>
          <w:rStyle w:val="Italics"/>
        </w:rPr>
        <w:t>surséance,</w:t>
      </w:r>
      <w:r>
        <w:t xml:space="preserve"> “ reprieve.”</w:t>
      </w:r>
    </w:p>
    <w:p w:rsidR="005B1E7D" w:rsidRDefault="005B1E7D" w:rsidP="005B1E7D">
      <w:pPr>
        <w:pStyle w:val="Footnote-OneDigit"/>
      </w:pPr>
    </w:p>
  </w:footnote>
  <w:footnote w:id="6">
    <w:p w:rsidR="005B1E7D" w:rsidRDefault="005B1E7D" w:rsidP="005B1E7D">
      <w:pPr>
        <w:pStyle w:val="FirstFootnoteinColumnLine"/>
      </w:pPr>
      <w:r>
        <w:rPr>
          <w:vertAlign w:val="superscript"/>
        </w:rPr>
        <w:footnoteRef/>
      </w:r>
      <w:r>
        <w:tab/>
        <w:t>“weerlegging.”</w:t>
      </w:r>
    </w:p>
    <w:p w:rsidR="005B1E7D" w:rsidRDefault="005B1E7D" w:rsidP="005B1E7D">
      <w:pPr>
        <w:pStyle w:val="FirstFootnoteinColumnLine"/>
      </w:pPr>
    </w:p>
  </w:footnote>
  <w:footnote w:id="7">
    <w:p w:rsidR="005B1E7D" w:rsidRDefault="005B1E7D" w:rsidP="005B1E7D">
      <w:pPr>
        <w:pStyle w:val="Footnote-OneDigit"/>
      </w:pPr>
      <w:r>
        <w:rPr>
          <w:vertAlign w:val="superscript"/>
        </w:rPr>
        <w:footnoteRef/>
      </w:r>
      <w:r>
        <w:tab/>
        <w:t>This address was written in the lower left corner of the recto.</w:t>
      </w:r>
    </w:p>
    <w:p w:rsidR="005B1E7D" w:rsidRDefault="005B1E7D" w:rsidP="005B1E7D">
      <w:pPr>
        <w:pStyle w:val="Footnote-OneDigit"/>
      </w:pPr>
    </w:p>
  </w:footnote>
  <w:footnote w:id="8">
    <w:p w:rsidR="005B1E7D" w:rsidRDefault="005B1E7D" w:rsidP="005B1E7D">
      <w:pPr>
        <w:pStyle w:val="Footnote-OneDigit"/>
      </w:pPr>
      <w:r>
        <w:rPr>
          <w:vertAlign w:val="superscript"/>
        </w:rPr>
        <w:footnoteRef/>
      </w:r>
      <w:r>
        <w:tab/>
        <w:t>This note is upside down in the lower left corner.</w:t>
      </w:r>
    </w:p>
    <w:p w:rsidR="005B1E7D" w:rsidRDefault="005B1E7D" w:rsidP="005B1E7D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1757.01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5B1E7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5B1E7D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5B1E7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5B1E7D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B1E7D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5B1E7D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5B1E7D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Italics">
    <w:name w:val="Italics"/>
    <w:uiPriority w:val="99"/>
    <w:rsid w:val="005B1E7D"/>
    <w:rPr>
      <w:i/>
      <w:iCs/>
    </w:rPr>
  </w:style>
  <w:style w:type="paragraph" w:customStyle="1" w:styleId="FirstFootnoteinColumnLine">
    <w:name w:val="First Footnote in Column Line"/>
    <w:basedOn w:val="Normal"/>
    <w:uiPriority w:val="99"/>
    <w:rsid w:val="005B1E7D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