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30, 09 April 1710, transcription," in Documents of Brotherly Love: Dutch Mennonite Aid to Swiss Anabaptists (Millersburg, OH: Ohio Amish Library), 150-54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09 April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Bern, Regering te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A83A98" w:rsidRDefault="00A83A98" w:rsidP="00A83A98">
      <w:pPr>
        <w:pStyle w:val="FirstParagraph"/>
      </w:pPr>
      <w:r>
        <w:t>30.  April 9, 1710.</w:t>
      </w:r>
      <w:r>
        <w:rPr>
          <w:rStyle w:val="FootnoteReference"/>
        </w:rPr>
        <w:footnoteReference w:id="3"/>
      </w:r>
      <w:r>
        <w:t> </w:t>
      </w:r>
    </w:p>
    <w:p w:rsidR="00A83A98" w:rsidRDefault="00A83A98" w:rsidP="00A83A98">
      <w:pPr>
        <w:pStyle w:val="OriginalText"/>
        <w:rPr>
          <w:sz w:val="21"/>
          <w:szCs w:val="21"/>
        </w:rPr>
      </w:pP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Bernese goverment"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Copia.</w:t>
      </w:r>
      <w:r>
        <w:rPr>
          <w:rStyle w:val="FootnoteReference"/>
          <w:sz w:val="21"/>
          <w:szCs w:val="21"/>
        </w:rPr>
        <w:footnoteReference w:id="4"/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Hochgeachte großmächtige etc. etc. etc.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Es haben Ihro Hochmögende die Herren </w:t>
      </w:r>
      <w:r>
        <w:rPr>
          <w:rStyle w:val="Italics"/>
          <w:sz w:val="21"/>
          <w:szCs w:val="21"/>
        </w:rPr>
        <w:t>General</w:t>
      </w:r>
      <w:r>
        <w:rPr>
          <w:sz w:val="21"/>
          <w:szCs w:val="21"/>
        </w:rPr>
        <w:t xml:space="preserve"> Staaten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 Vereinigten Niederlanden meine gnädigste Herrschafft,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auß veranlaßen der unter Dero Schutz und Schirm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wohnenten Mennoniten oder Taüffs-gesinten  gemeinten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Sich nicht entaüßern wollen beÿ Eweren Herrlichkeiten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Meinen Hochgeehrtesten Herren in </w:t>
      </w:r>
      <w:r>
        <w:rPr>
          <w:rStyle w:val="Italics"/>
          <w:sz w:val="21"/>
          <w:szCs w:val="21"/>
        </w:rPr>
        <w:t>favor</w:t>
      </w:r>
      <w:r>
        <w:rPr>
          <w:sz w:val="21"/>
          <w:szCs w:val="21"/>
        </w:rPr>
        <w:t xml:space="preserve"> der in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Dero Lobl[iche]m. </w:t>
      </w:r>
      <w:r>
        <w:rPr>
          <w:rStyle w:val="Italics"/>
          <w:sz w:val="21"/>
          <w:szCs w:val="21"/>
        </w:rPr>
        <w:t>Canton</w:t>
      </w:r>
      <w:r>
        <w:rPr>
          <w:sz w:val="21"/>
          <w:szCs w:val="21"/>
        </w:rPr>
        <w:t xml:space="preserve"> sich hin und wieder befindenten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Wiedertaüffer zu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"intercession by States General:Runckel asks for"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intercediren</w:t>
      </w:r>
      <w:r>
        <w:rPr>
          <w:sz w:val="21"/>
          <w:szCs w:val="21"/>
        </w:rPr>
        <w:t>, damit dießer arme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Leüthe wegen ihres glaubens nicht ferner angefochten, 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sondern alß gute, stille, und sich in keine frembte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Sache einmischente Unterthanen Ewerer Herrlich[keiten]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Meiner H[ochgeehrten] herren gnadigsten Schutz und Schirm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einer stillen ruhe noch ferners geniesen mögen; zu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dem ende hin haben höchstgedachte Ihro hochmögende mir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nebengehendes Schreiben an Ewere Herrlich[keiten] undt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M[eine] h[ochgeehrte] herren mit dem gnädigsten befehl zugesandt, 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daß Ich solches nebst dessen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Ludwig:translates from Dutch"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übersetzung ferners an 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dieselbe in schuldigstem gehorsam gelangen zu laßen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ermangeln, auf was sonsten etwann noch in dieser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sach diesen armen Leüthen zum guten zu thun seÿn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mögte, nicht verabsaumen solle.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Nun ist zwaren nicht ohn, daß die Sache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vermittelst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würcklicher verban- undt absendung der nun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schon eine geraume zeithero in denen gefängnüßen    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2] 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gesessenen armen Wiedetaüffer nicht mehr in </w:t>
      </w:r>
      <w:r>
        <w:rPr>
          <w:rStyle w:val="Italics"/>
          <w:sz w:val="21"/>
          <w:szCs w:val="21"/>
        </w:rPr>
        <w:t>integro</w:t>
      </w:r>
      <w:r>
        <w:rPr>
          <w:rStyle w:val="FootnoteReference"/>
          <w:sz w:val="21"/>
          <w:szCs w:val="21"/>
        </w:rPr>
        <w:footnoteReference w:id="6"/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daß dannen hero </w:t>
      </w:r>
      <w:r>
        <w:rPr>
          <w:rStyle w:val="Italics"/>
          <w:sz w:val="21"/>
          <w:szCs w:val="21"/>
        </w:rPr>
        <w:t>intuitu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ihrer solche nicht wohl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mehr zu ändern, weilen aber aüßerlich vernehme,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dieser guten Leüthe noch eine ziemliche anzahl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hin und wieder in Ew: Herrlich[keiten] undt M[eine hochgeerte] herren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gebieth sich befinden, einige auch schon würcklichen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wiederum </w:t>
      </w:r>
      <w:r>
        <w:rPr>
          <w:rStyle w:val="Italics"/>
          <w:sz w:val="21"/>
          <w:szCs w:val="21"/>
        </w:rPr>
        <w:t>incarcerit</w:t>
      </w:r>
      <w:r>
        <w:rPr>
          <w:sz w:val="21"/>
          <w:szCs w:val="21"/>
        </w:rPr>
        <w:t xml:space="preserve"> seÿn sollen, so habe für eine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unumgängliche nothturfft zu seÿn ermessen Eweren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Herrlich[keiten] und M[eine hochgeehte] herren oberwehntes Meiner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gnädigsten Herrschafft an dieselbe adressirtes Schreiben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ohne fernern zeit verlurst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gehorsambst zu überreichen,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damit solches wo nicht denen ersteren j jedoch auffs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wenigsten diesen letztern annoch zu statten kommen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möge.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Es hoffen die Niederländischen Gemeindten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</w:t>
      </w:r>
      <w:r>
        <w:rPr>
          <w:rStyle w:val="Italics"/>
          <w:sz w:val="21"/>
          <w:szCs w:val="21"/>
        </w:rPr>
        <w:t>Mennoniten</w:t>
      </w:r>
      <w:r>
        <w:rPr>
          <w:sz w:val="21"/>
          <w:szCs w:val="21"/>
        </w:rPr>
        <w:t>, welche die in Lobl[iche]r Eydgenoßschafft,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</w:t>
      </w:r>
      <w:r>
        <w:rPr>
          <w:rStyle w:val="Italics"/>
          <w:sz w:val="21"/>
          <w:szCs w:val="21"/>
        </w:rPr>
        <w:t>Specie</w:t>
      </w:r>
      <w:r>
        <w:rPr>
          <w:sz w:val="21"/>
          <w:szCs w:val="21"/>
        </w:rPr>
        <w:t xml:space="preserve"> aber im Lobl[iche]m </w:t>
      </w:r>
      <w:r>
        <w:rPr>
          <w:rStyle w:val="Italics"/>
          <w:sz w:val="21"/>
          <w:szCs w:val="21"/>
        </w:rPr>
        <w:t>Canton</w:t>
      </w:r>
      <w:r>
        <w:rPr>
          <w:sz w:val="21"/>
          <w:szCs w:val="21"/>
        </w:rPr>
        <w:t xml:space="preserve"> Bern sich hin und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wieder befindente Wiedertaüffer für Ihre rechte,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wahre, im Leben undt in der Lehr mit Ihnen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"Dutch Mennonites (Doopsgezinden):agree with Swiss Anabaptists"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über-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einstimmende glaubens-genossen und Brüder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erkennen, es werden Ewe Herrlich[keiten] undt M[eine hochgeehrte] herren,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alß die mit und nebenst denen übrigen Lobl[liche]n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Cantonen</w:t>
      </w:r>
      <w:r>
        <w:rPr>
          <w:sz w:val="21"/>
          <w:szCs w:val="21"/>
        </w:rPr>
        <w:t xml:space="preserve"> Evangelischen </w:t>
      </w:r>
      <w:r>
        <w:rPr>
          <w:rStyle w:val="Italics"/>
          <w:sz w:val="21"/>
          <w:szCs w:val="21"/>
        </w:rPr>
        <w:t>Religion</w:t>
      </w:r>
      <w:r>
        <w:rPr>
          <w:sz w:val="21"/>
          <w:szCs w:val="21"/>
        </w:rPr>
        <w:t xml:space="preserve"> Sich die erlößung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auff denen Frantzöschen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"galley slavery"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Galleeren</w:t>
      </w:r>
      <w:r>
        <w:rPr>
          <w:sz w:val="21"/>
          <w:szCs w:val="21"/>
        </w:rPr>
        <w:t>, in denen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Clöstern,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gefängnüßen, undt gestanck löcher sich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befindeten Brüdern in Christo nicht allein mit so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3]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groser sorgfalt undt </w:t>
      </w:r>
      <w:r>
        <w:rPr>
          <w:rStyle w:val="Italics"/>
          <w:sz w:val="21"/>
          <w:szCs w:val="21"/>
        </w:rPr>
        <w:t>tendresse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laßen angelegen seyn,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sondern auch andere Potentzen auff alle weg und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weise dahin zu vermögen trachten; damit solche Sich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derer beÿ künfftigen Friedens schluß ebenmäßig­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auffs kräfftigste annehmen möge, es hoffen, sage ich,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</w:t>
      </w:r>
      <w:r>
        <w:rPr>
          <w:rStyle w:val="Italics"/>
          <w:sz w:val="21"/>
          <w:szCs w:val="21"/>
        </w:rPr>
        <w:t>Mennoniten</w:t>
      </w:r>
      <w:r>
        <w:rPr>
          <w:sz w:val="21"/>
          <w:szCs w:val="21"/>
        </w:rPr>
        <w:t xml:space="preserve"> gemeinten in Niederlandt, er [sic] werden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Ew: Herrlich[keiten] undt M[eine hochgeehrten] herren, die Sich der armen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"Huguenots"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gefangenen Französen so brüderlich annehmen, alß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Gottsfürchtige Vätter des Vatterlands Sich nicht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entaüßern wollen, einige wenige funcken dieser so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milthätigen Barmhertzigkeit und Mittleÿdens auch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dero eigenen angebohrnen, und so stillen alß getrewen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Unterthanen gnädigst angedeÿen zu laßen.  Sie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hoffen solches umb so viel mehr, da wiedrigen fals 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nicht unbillich zu beförchten, es mögten die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"Catholic persecution"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Feinde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Unserer </w:t>
      </w:r>
      <w:r>
        <w:rPr>
          <w:rStyle w:val="Italics"/>
          <w:sz w:val="21"/>
          <w:szCs w:val="21"/>
        </w:rPr>
        <w:t>religion</w:t>
      </w:r>
      <w:r>
        <w:rPr>
          <w:sz w:val="21"/>
          <w:szCs w:val="21"/>
        </w:rPr>
        <w:t xml:space="preserve"> Sich dieses </w:t>
      </w:r>
      <w:r>
        <w:rPr>
          <w:rStyle w:val="Italics"/>
          <w:sz w:val="21"/>
          <w:szCs w:val="21"/>
        </w:rPr>
        <w:t>exempels pr</w:t>
      </w:r>
      <w:r>
        <w:rPr>
          <w:rStyle w:val="Italics"/>
          <w:i w:val="0"/>
          <w:iCs w:val="0"/>
          <w:sz w:val="21"/>
          <w:szCs w:val="21"/>
        </w:rPr>
        <w:t>æ</w:t>
      </w:r>
      <w:r>
        <w:rPr>
          <w:rStyle w:val="Italics"/>
          <w:sz w:val="21"/>
          <w:szCs w:val="21"/>
        </w:rPr>
        <w:t>valiren</w:t>
      </w:r>
      <w:r>
        <w:rPr>
          <w:sz w:val="21"/>
          <w:szCs w:val="21"/>
        </w:rPr>
        <w:t>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demnach so wohl </w:t>
      </w:r>
      <w:r>
        <w:rPr>
          <w:rStyle w:val="Italics"/>
          <w:sz w:val="21"/>
          <w:szCs w:val="21"/>
        </w:rPr>
        <w:t>intuitu</w:t>
      </w:r>
      <w:r>
        <w:rPr>
          <w:sz w:val="21"/>
          <w:szCs w:val="21"/>
        </w:rPr>
        <w:t xml:space="preserve"> unserer gefangenen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Brüder auff denen Frantzösichen </w:t>
      </w:r>
      <w:r>
        <w:rPr>
          <w:rStyle w:val="Italics"/>
          <w:sz w:val="21"/>
          <w:szCs w:val="21"/>
        </w:rPr>
        <w:t>Galleeren</w:t>
      </w:r>
      <w:r>
        <w:rPr>
          <w:sz w:val="21"/>
          <w:szCs w:val="21"/>
        </w:rPr>
        <w:t>, als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auch beÿ anderen sich etwann noch eraügnenten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gelegenheiten, sich ebenmäßig umb so viel </w:t>
      </w:r>
      <w:r>
        <w:rPr>
          <w:rStyle w:val="Italics"/>
          <w:sz w:val="21"/>
          <w:szCs w:val="21"/>
        </w:rPr>
        <w:t>difficiler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erzeigen, welchen fals es dann in der wahrheit wohl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heißen könte, daß mann mit der einten Handt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umbgerissen, was mann mit der andern so sorgfãllig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so liebreich zu erbawen getrachtet.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Dießes ist hochgeacht und großmächt[ig] wie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auch hochg[eehrt] herren was denen solten ferners gehorsambt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[Seite 4]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vorstellen sollen, nicht zweifflente, es werden Ewere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Herrlich[keiten] undt M[eine geehrte] herren so wohl auff Ihrer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Hochmögenden so liebreiche </w:t>
      </w:r>
      <w:r>
        <w:rPr>
          <w:rStyle w:val="Italics"/>
          <w:sz w:val="21"/>
          <w:szCs w:val="21"/>
        </w:rPr>
        <w:t>intercession</w:t>
      </w:r>
      <w:r>
        <w:rPr>
          <w:sz w:val="21"/>
          <w:szCs w:val="21"/>
        </w:rPr>
        <w:t>, alß dieses,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großgünstigst </w:t>
      </w:r>
      <w:r>
        <w:rPr>
          <w:rStyle w:val="Italics"/>
          <w:sz w:val="21"/>
          <w:szCs w:val="21"/>
        </w:rPr>
        <w:t>reflectiren</w:t>
      </w:r>
      <w:r>
        <w:rPr>
          <w:sz w:val="21"/>
          <w:szCs w:val="21"/>
        </w:rPr>
        <w:t>, auch ferners belieben,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mich in standt zu stellen, damit Höchstgedacht Ihro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Hochmögende mit wahrheits grund versichern möge,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daß dero </w:t>
      </w:r>
      <w:r>
        <w:rPr>
          <w:rStyle w:val="Italics"/>
          <w:sz w:val="21"/>
          <w:szCs w:val="21"/>
        </w:rPr>
        <w:t>intercession</w:t>
      </w:r>
      <w:r>
        <w:rPr>
          <w:sz w:val="21"/>
          <w:szCs w:val="21"/>
        </w:rPr>
        <w:t xml:space="preserve"> einem Lobl[iche]n. Stand Bern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nicht </w:t>
      </w:r>
      <w:r>
        <w:rPr>
          <w:rStyle w:val="Italics"/>
          <w:sz w:val="21"/>
          <w:szCs w:val="21"/>
        </w:rPr>
        <w:t>indefferent</w:t>
      </w:r>
      <w:r>
        <w:rPr>
          <w:sz w:val="21"/>
          <w:szCs w:val="21"/>
        </w:rPr>
        <w:t xml:space="preserve"> gewesen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Womit Ew: Herrlich[keiten] und M[eine hochgeehrte] herren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den Allwaltenden gnadenschutz Gottes des aller-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höchsten, mich aber zu dero fernern gunst und gewogen-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heit gehorsambst empfehle, auch in allem geziemendem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respect</w:t>
      </w:r>
      <w:r>
        <w:rPr>
          <w:sz w:val="21"/>
          <w:szCs w:val="21"/>
        </w:rPr>
        <w:t xml:space="preserve"> stetshin verharre.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An einen Lobl[iche]n Standt Bern abgegeben.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Schaffhaußen den 9ten </w:t>
      </w:r>
      <w:r>
        <w:rPr>
          <w:rStyle w:val="Italics"/>
          <w:sz w:val="21"/>
          <w:szCs w:val="21"/>
        </w:rPr>
        <w:t>Aprilis</w:t>
      </w:r>
      <w:r>
        <w:rPr>
          <w:sz w:val="21"/>
          <w:szCs w:val="21"/>
        </w:rPr>
        <w:t xml:space="preserve"> </w:t>
      </w:r>
    </w:p>
    <w:p w:rsidR="0084002E" w:rsidRDefault="00A83A98" w:rsidP="00A83A98"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1710 /</w:t>
      </w:r>
      <w:r>
        <w:rPr>
          <w:rStyle w:val="FootnoteReference"/>
          <w:sz w:val="21"/>
          <w:szCs w:val="21"/>
        </w:rPr>
        <w:footnoteReference w:id="10"/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A83A98" w:rsidRDefault="00A83A98" w:rsidP="00A83A98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30</w:t>
      </w:r>
      <w:r>
        <w:tab/>
      </w:r>
      <w:r>
        <w:rPr>
          <w:rStyle w:val="FootnoteReference"/>
        </w:rPr>
        <w:tab/>
      </w:r>
      <w:r>
        <w:t xml:space="preserve">A 1769 from the De Hoop Scheffer </w:t>
      </w:r>
      <w:r>
        <w:rPr>
          <w:rStyle w:val="Italics"/>
        </w:rPr>
        <w:t>Inventaris</w:t>
      </w:r>
      <w:r>
        <w:t>.  A Dutch translation of this letter is found in Jacob Vorsterman’s Relaes, A 1392, pp. 15, 18.</w:t>
      </w:r>
    </w:p>
    <w:p w:rsidR="00A83A98" w:rsidRDefault="00A83A98" w:rsidP="00A83A98">
      <w:pPr>
        <w:pStyle w:val="FootnoteTextTwo"/>
      </w:pPr>
    </w:p>
  </w:footnote>
  <w:footnote w:id="4">
    <w:p w:rsidR="00A83A98" w:rsidRDefault="00A83A98" w:rsidP="00A83A98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 In these transcriptions italics indicate Latin letters in the original, and regular (non-italic) letters indicate </w:t>
      </w:r>
      <w:r>
        <w:fldChar w:fldCharType="begin"/>
      </w:r>
      <w:r>
        <w:rPr>
          <w:rStyle w:val="FootnoteReference"/>
        </w:rPr>
        <w:instrText>xe "handwriting, German:example in Gothic letters"</w:instrText>
      </w:r>
      <w:r>
        <w:fldChar w:fldCharType="end"/>
      </w:r>
      <w:r>
        <w:t>Gothic (Germanic) letters in the original.  This distinction is made only when both kinds of letters are present.</w:t>
      </w:r>
    </w:p>
    <w:p w:rsidR="00A83A98" w:rsidRDefault="00A83A98" w:rsidP="00A83A98">
      <w:pPr>
        <w:pStyle w:val="Footnote-OneDigit"/>
      </w:pPr>
    </w:p>
  </w:footnote>
  <w:footnote w:id="5">
    <w:p w:rsidR="00A83A98" w:rsidRDefault="00A83A98" w:rsidP="00A83A98">
      <w:pPr>
        <w:pStyle w:val="FirstFootnoteinColumnLine"/>
      </w:pPr>
      <w:r>
        <w:rPr>
          <w:vertAlign w:val="superscript"/>
        </w:rPr>
        <w:footnoteRef/>
      </w:r>
      <w:r>
        <w:tab/>
        <w:t>vermittelst, with genitive, “by means of, through.”</w:t>
      </w:r>
    </w:p>
    <w:p w:rsidR="00A83A98" w:rsidRDefault="00A83A98" w:rsidP="00A83A98">
      <w:pPr>
        <w:pStyle w:val="FirstFootnoteinColumnLine"/>
      </w:pPr>
    </w:p>
  </w:footnote>
  <w:footnote w:id="6">
    <w:p w:rsidR="00A83A98" w:rsidRDefault="00A83A98" w:rsidP="00A83A98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res est in integro</w:t>
      </w:r>
      <w:r>
        <w:t xml:space="preserve"> (Latin), “in its former condition.”</w:t>
      </w:r>
    </w:p>
    <w:p w:rsidR="00A83A98" w:rsidRDefault="00A83A98" w:rsidP="00A83A98">
      <w:pPr>
        <w:pStyle w:val="Footnote-OneDigit"/>
      </w:pPr>
    </w:p>
  </w:footnote>
  <w:footnote w:id="7">
    <w:p w:rsidR="00A83A98" w:rsidRDefault="00A83A98" w:rsidP="00A83A98">
      <w:pPr>
        <w:pStyle w:val="Footnote-OneDigit"/>
      </w:pPr>
      <w:r>
        <w:rPr>
          <w:vertAlign w:val="superscript"/>
        </w:rPr>
        <w:footnoteRef/>
      </w:r>
      <w:r>
        <w:tab/>
        <w:t>intuitus (Latin), “view”; only in ablative singular “regard, consideration.”</w:t>
      </w:r>
    </w:p>
    <w:p w:rsidR="00A83A98" w:rsidRDefault="00A83A98" w:rsidP="00A83A98">
      <w:pPr>
        <w:pStyle w:val="Footnote-OneDigit"/>
      </w:pPr>
    </w:p>
  </w:footnote>
  <w:footnote w:id="8">
    <w:p w:rsidR="00A83A98" w:rsidRDefault="00A83A98" w:rsidP="00A83A98">
      <w:pPr>
        <w:pStyle w:val="Footnote-OneDigit"/>
      </w:pPr>
      <w:r>
        <w:rPr>
          <w:vertAlign w:val="superscript"/>
        </w:rPr>
        <w:footnoteRef/>
      </w:r>
      <w:r>
        <w:tab/>
        <w:t>“verlust.”</w:t>
      </w:r>
    </w:p>
    <w:p w:rsidR="00A83A98" w:rsidRDefault="00A83A98" w:rsidP="00A83A98">
      <w:pPr>
        <w:pStyle w:val="Footnote-OneDigit"/>
      </w:pPr>
    </w:p>
  </w:footnote>
  <w:footnote w:id="9">
    <w:p w:rsidR="00A83A98" w:rsidRDefault="00A83A98" w:rsidP="00A83A98">
      <w:pPr>
        <w:pStyle w:val="Footnote-OneDigit"/>
      </w:pPr>
      <w:r>
        <w:rPr>
          <w:vertAlign w:val="superscript"/>
        </w:rPr>
        <w:footnoteRef/>
      </w:r>
      <w:r>
        <w:tab/>
        <w:t>“tenderness,” (French).</w:t>
      </w:r>
    </w:p>
    <w:p w:rsidR="00A83A98" w:rsidRDefault="00A83A98" w:rsidP="00A83A98">
      <w:pPr>
        <w:pStyle w:val="Footnote-OneDigit"/>
      </w:pPr>
    </w:p>
  </w:footnote>
  <w:footnote w:id="10">
    <w:p w:rsidR="00A83A98" w:rsidRDefault="00A83A98" w:rsidP="00A83A98">
      <w:pPr>
        <w:pStyle w:val="FirstFootnoteinColumnLine"/>
      </w:pPr>
      <w:r>
        <w:rPr>
          <w:vertAlign w:val="superscript"/>
        </w:rPr>
        <w:footnoteRef/>
      </w:r>
      <w:r>
        <w:tab/>
        <w:t>Page 18 of Vorsterman’s translation says “Was geteÿkent J. Louis Runckel.”</w:t>
      </w:r>
    </w:p>
    <w:p w:rsidR="00A83A98" w:rsidRDefault="00A83A98" w:rsidP="00A83A98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1769.01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A83A9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A83A98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A83A9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A83A98"/>
    <w:rPr>
      <w:i/>
      <w:iCs/>
    </w:rPr>
  </w:style>
  <w:style w:type="paragraph" w:customStyle="1" w:styleId="FootnoteTextTwo">
    <w:name w:val="Footnote Text Two"/>
    <w:basedOn w:val="Normal"/>
    <w:uiPriority w:val="99"/>
    <w:rsid w:val="00A83A98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A83A98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A83A98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A83A98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