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72, 11 March 1707, transcription," in Documents of Brotherly Love: Dutch Mennonite Aid to Swiss Anabaptists (Millersburg, OH: Ohio Amish Library), 642-44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Hamburg, Roosen, Gerrit, Lanoy, Jan de, Campen, Jacob van, Munster, Jan Elias, Vliegar, Carel de and Reboom,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Dr Herman and Congregation, Zon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52021" w:rsidRDefault="00152021" w:rsidP="00152021">
      <w:pPr>
        <w:pStyle w:val="02Normal"/>
      </w:pPr>
      <w:r>
        <w:rPr>
          <w:b/>
          <w:bCs/>
          <w:sz w:val="28"/>
          <w:szCs w:val="28"/>
        </w:rPr>
        <w:t>72.  March 11, 1707.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[pagina 1]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Doctr. Hermanus Schÿn en verdere Dienaeren der Doops-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Gesinde Gemeente Amsteldam!  Zaeligheidt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Seer Waerde Broederen &amp; Mede-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  Dienaeren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ÜE aengenaeme van d[en] 9 passé,</w:t>
      </w:r>
      <w:r>
        <w:rPr>
          <w:vertAlign w:val="superscript"/>
          <w:lang w:val="nl-NL"/>
        </w:rPr>
        <w:footnoteReference w:id="4"/>
      </w:r>
      <w:r>
        <w:rPr>
          <w:lang w:val="nl-NL"/>
        </w:rPr>
        <w:t xml:space="preserve"> hebben wÿ op sÿn Tÿdt,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ontfangen: alsmede de brief van Pensilvania te rugh,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die van de Vr[ienden] tot Crevelt &amp; Goch.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Nae dat we dan, in ons Collegie, deselve gelesen, 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ov[er]wogen hebben, so dient tot vriendlÿck antw: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dat we, in de hooftsaeck, met UE gants Enig sÿn: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wÿ hebben ons diesaengaende, aen dito Ameri-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kaanse Broederen, al lang geleden, enigermae-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 v[er]klaert, en de  saeck gerecommandeert.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Alleen ons dünckt, dat het veel kragtiger sau wesen,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oock meer Inganck hebben, bÿ dito broederen, wanneer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UE sodaenigen brieff schreef, en onderTekende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Als UE dan deselve, aen ons belieft te senden, so willen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wÿ die mede onderTekenen, en voort senden.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of indien UE het goed vindt, dat dit Werck opgehau-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den wordt, tot die societait v[er]Gaedering, Cosei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bÿ een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komt: en die saeck daerop dient, ’t is ons niet tegen,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te meer, dewÿl het dan, ontgetwÿfelt haere gemoederen/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nog kragtiger overtuÿgen, en bewegen sau, om unse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Raedt, aen te nemen.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2]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Maer het ergst is, dat de Vr[ien]den daerdoor te langer op-</w:t>
      </w:r>
    </w:p>
    <w:p w:rsidR="00152021" w:rsidRDefault="00152021" w:rsidP="00152021">
      <w:pPr>
        <w:pStyle w:val="02Normal"/>
      </w:pPr>
      <w:r>
        <w:t>gehouden worden: en te meer, dewÿl we menen, dat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dese schepen ordinarie in Maÿ, uÿt Engelandt, nae</w:t>
      </w:r>
    </w:p>
    <w:p w:rsidR="00152021" w:rsidRDefault="00152021" w:rsidP="00152021">
      <w:pPr>
        <w:pStyle w:val="02Normal"/>
      </w:pPr>
      <w:r>
        <w:t>Pensilvania v[er]Trecken.</w:t>
      </w:r>
    </w:p>
    <w:p w:rsidR="00152021" w:rsidRDefault="00152021" w:rsidP="00152021">
      <w:pPr>
        <w:pStyle w:val="02Normal"/>
      </w:pPr>
      <w:r>
        <w:t>Wat UE nü daeromtrent resolveert, laeten wÿ ons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gevallen,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en süllen het, met UE Commodetait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v[er]Wag-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Ondertüssen blÿven wÿ nae bevelinge</w:t>
      </w:r>
      <w:r>
        <w:rPr>
          <w:vertAlign w:val="superscript"/>
          <w:lang w:val="nl-NL"/>
        </w:rPr>
        <w:footnoteReference w:id="8"/>
      </w:r>
      <w:r>
        <w:rPr>
          <w:lang w:val="nl-NL"/>
        </w:rPr>
        <w:t xml:space="preserve"> Godes en herte-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lÿcke Groetenis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UE   DW  Dr [en] Br.</w:t>
      </w:r>
      <w:r>
        <w:rPr>
          <w:vertAlign w:val="superscript"/>
          <w:lang w:val="nl-NL"/>
        </w:rPr>
        <w:footnoteReference w:id="9"/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Hamb[urg] d[en] 11 Maert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Ao 1707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en uÿt de Naem van onse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Gantsche Dienaerschap getekent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Geeritt Roosen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de Lanoy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Jacob van Campen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Elias Münster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Carel de Vlieger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Reboom</w:t>
      </w:r>
      <w:r>
        <w:rPr>
          <w:vertAlign w:val="superscript"/>
          <w:lang w:val="nl-NL"/>
        </w:rPr>
        <w:footnoteReference w:id="10"/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3]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 xml:space="preserve">Eersame Discrete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Doctr Hermanus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      Schÿn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Leraer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>der Doopsgesinde</w:t>
      </w:r>
    </w:p>
    <w:p w:rsidR="00152021" w:rsidRDefault="00152021" w:rsidP="0015202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t>a</w:t>
      </w:r>
    </w:p>
    <w:p w:rsidR="00152021" w:rsidRDefault="00152021" w:rsidP="00152021">
      <w:pPr>
        <w:pStyle w:val="02Normal"/>
      </w:pPr>
      <w:r>
        <w:tab/>
      </w:r>
      <w:r>
        <w:tab/>
        <w:t>Amsteldam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52021" w:rsidRDefault="00152021" w:rsidP="00152021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2244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1.</w:t>
      </w:r>
      <w:r>
        <w:rPr>
          <w:i/>
          <w:iCs/>
        </w:rPr>
        <w:t xml:space="preserve">  </w:t>
      </w:r>
    </w:p>
    <w:p w:rsidR="00152021" w:rsidRDefault="00152021" w:rsidP="00152021">
      <w:pPr>
        <w:pStyle w:val="FootnoteText"/>
        <w:ind w:firstLine="0"/>
      </w:pPr>
    </w:p>
  </w:footnote>
  <w:footnote w:id="4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“past,” (French).</w:t>
      </w:r>
    </w:p>
    <w:p w:rsidR="00152021" w:rsidRDefault="00152021" w:rsidP="00152021">
      <w:pPr>
        <w:pStyle w:val="FootnoteText"/>
      </w:pPr>
    </w:p>
  </w:footnote>
  <w:footnote w:id="5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spelling is not in doubt, but the meaning is unknown.</w:t>
      </w:r>
    </w:p>
    <w:p w:rsidR="00152021" w:rsidRDefault="00152021" w:rsidP="00152021">
      <w:pPr>
        <w:pStyle w:val="FootnoteText"/>
      </w:pPr>
    </w:p>
  </w:footnote>
  <w:footnote w:id="6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“aangenaam zijn.”</w:t>
      </w:r>
    </w:p>
    <w:p w:rsidR="00152021" w:rsidRDefault="00152021" w:rsidP="00152021">
      <w:pPr>
        <w:pStyle w:val="FootnoteText"/>
      </w:pPr>
    </w:p>
  </w:footnote>
  <w:footnote w:id="7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Cf. Kommodität, “Bequemlichkeit,” (German).</w:t>
      </w:r>
    </w:p>
    <w:p w:rsidR="00152021" w:rsidRDefault="00152021" w:rsidP="00152021">
      <w:pPr>
        <w:pStyle w:val="FootnoteText"/>
      </w:pPr>
    </w:p>
  </w:footnote>
  <w:footnote w:id="8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“opdragen aan, aanbeveling.”</w:t>
      </w:r>
    </w:p>
    <w:p w:rsidR="00152021" w:rsidRDefault="00152021" w:rsidP="00152021">
      <w:pPr>
        <w:pStyle w:val="FootnoteText"/>
      </w:pPr>
    </w:p>
  </w:footnote>
  <w:footnote w:id="9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Dienstwillige Dienaaren en Broederen.</w:t>
      </w:r>
    </w:p>
    <w:p w:rsidR="00152021" w:rsidRDefault="00152021" w:rsidP="00152021">
      <w:pPr>
        <w:pStyle w:val="FootnoteText"/>
      </w:pPr>
    </w:p>
  </w:footnote>
  <w:footnote w:id="10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could be read as “Keboom.”</w:t>
      </w:r>
    </w:p>
    <w:p w:rsidR="00152021" w:rsidRDefault="00152021" w:rsidP="0015202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520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5202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202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5202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