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ind w:left="0" w:firstLine="0"/>
        <w:rPr/>
      </w:pPr>
      <w:bookmarkStart w:colFirst="0" w:colLast="0" w:name="_ntir60jd0f93" w:id="0"/>
      <w:bookmarkEnd w:id="0"/>
      <w:r w:rsidDel="00000000" w:rsidR="00000000" w:rsidRPr="00000000">
        <w:rPr>
          <w:rtl w:val="0"/>
        </w:rPr>
        <w:t xml:space="preserve">Source 1: Engineering a Co-culture Enables </w:t>
      </w:r>
      <w:r w:rsidDel="00000000" w:rsidR="00000000" w:rsidRPr="00000000">
        <w:rPr>
          <w:rtl w:val="0"/>
        </w:rPr>
        <w:t xml:space="preserve">Geobacter</w:t>
      </w:r>
      <w:r w:rsidDel="00000000" w:rsidR="00000000" w:rsidRPr="00000000">
        <w:rPr>
          <w:rtl w:val="0"/>
        </w:rPr>
        <w:t xml:space="preserve"> </w:t>
      </w:r>
      <w:r w:rsidDel="00000000" w:rsidR="00000000" w:rsidRPr="00000000">
        <w:rPr>
          <w:rtl w:val="0"/>
        </w:rPr>
        <w:t xml:space="preserve">sulfurreducens</w:t>
      </w:r>
      <w:r w:rsidDel="00000000" w:rsidR="00000000" w:rsidRPr="00000000">
        <w:rPr>
          <w:rtl w:val="0"/>
        </w:rPr>
        <w:t xml:space="preserve"> to Produce Electricity in the Presence of Oxygen</w:t>
      </w:r>
    </w:p>
    <w:p w:rsidR="00000000" w:rsidDel="00000000" w:rsidP="00000000" w:rsidRDefault="00000000" w:rsidRPr="00000000" w14:paraId="0000000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study found that Geobacter </w:t>
      </w:r>
      <w:r w:rsidDel="00000000" w:rsidR="00000000" w:rsidRPr="00000000">
        <w:rPr>
          <w:rFonts w:ascii="Times New Roman" w:cs="Times New Roman" w:eastAsia="Times New Roman" w:hAnsi="Times New Roman"/>
          <w:sz w:val="24"/>
          <w:szCs w:val="24"/>
          <w:rtl w:val="0"/>
        </w:rPr>
        <w:t xml:space="preserve">sulfurreducens</w:t>
      </w:r>
      <w:r w:rsidDel="00000000" w:rsidR="00000000" w:rsidRPr="00000000">
        <w:rPr>
          <w:rFonts w:ascii="Times New Roman" w:cs="Times New Roman" w:eastAsia="Times New Roman" w:hAnsi="Times New Roman"/>
          <w:sz w:val="24"/>
          <w:szCs w:val="24"/>
          <w:rtl w:val="0"/>
        </w:rPr>
        <w:t xml:space="preserve"> are unable to produce significant levels of electrical current when there is a high concentration of dissolved oxygen present (~6 mg/L). Dissolved oxygen works as an alternate electron sink for the cell diverting electrons away from the anode at which they need to be transferred. However, when a co-culture of E. coli and G. sulfurreducens were grown together, the E. coli quickly depleted the dissolved oxygen available in the media to less than 2 mg/L, creating an environment in which G. sulfurreducens could use electrons to produce voltage (up to 0.5 V) after only 20 hours. Without the E. coli producing the anaerobic environment required for G. sulfurreducens to produce voltage, Geobacter alone would have never been able to produce any measurable amount of voltage. This study provides the scientific foundation for our two-strain design, that E. coli’s primary function is to create a sufficient anaerobic environment for Geobacter to convert electrons into voltage, which defines the division of labor in our first simulation scenario.</w:t>
      </w:r>
    </w:p>
    <w:p w:rsidR="00000000" w:rsidDel="00000000" w:rsidP="00000000" w:rsidRDefault="00000000" w:rsidRPr="00000000" w14:paraId="00000003">
      <w:pPr>
        <w:pStyle w:val="Heading1"/>
        <w:spacing w:after="240" w:before="240" w:lineRule="auto"/>
        <w:ind w:left="0" w:firstLine="0"/>
        <w:rPr/>
      </w:pPr>
      <w:bookmarkStart w:colFirst="0" w:colLast="0" w:name="_szcamum0r4l5" w:id="1"/>
      <w:bookmarkEnd w:id="1"/>
      <w:r w:rsidDel="00000000" w:rsidR="00000000" w:rsidRPr="00000000">
        <w:rPr>
          <w:rtl w:val="0"/>
        </w:rPr>
        <w:t xml:space="preserve">Source 2: A Defined Co-culture of Geobacter sulfurreducens and Escherichia coli in a Microbial Fuel Cell</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their study on the defined MFC co-culture, researchers conducted metabolite analysis to determine what metabolites were being exchanged between the E. coli and G. sulfurreducens cells. Their results indicated that during metabolism, the E. coli produced acetate, succinate, and formate as a product of fermentation. The acetate was then used by Geobacter as an electron donor to produce current. These findings provide further evidence for the second aspect of the E. coli – Geobacter division of labor in our design; while E. coli removes oxygen from the environment, allowing Geobacter to grow and generate electricity, it also produces acetate which serves as Geobacter’s sole source of electrons. Together these studies demonstrate how E. coli and G. sulfurreducens work together in a symbiotic relationship to create an effective microbial fuel cell.</w:t>
      </w:r>
    </w:p>
    <w:p w:rsidR="00000000" w:rsidDel="00000000" w:rsidP="00000000" w:rsidRDefault="00000000" w:rsidRPr="00000000" w14:paraId="00000005">
      <w:pPr>
        <w:pStyle w:val="Heading1"/>
        <w:spacing w:after="240" w:before="240" w:lineRule="auto"/>
        <w:ind w:left="0" w:firstLine="0"/>
        <w:rPr/>
      </w:pPr>
      <w:bookmarkStart w:colFirst="0" w:colLast="0" w:name="_m6oce1r7vc3z" w:id="2"/>
      <w:bookmarkEnd w:id="2"/>
      <w:r w:rsidDel="00000000" w:rsidR="00000000" w:rsidRPr="00000000">
        <w:rPr>
          <w:rtl w:val="0"/>
        </w:rPr>
        <w:t xml:space="preserve">Source 3: Even Allocation of Benefits Stabilizes Microbial Community Involved in Cooperative Metabolic Division of Labor</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et al. (2022) studied the conditions necessary for cooperative systems to achieve long term stability, and provided both the analytical tools and laboratory evidence to explain why this type of cooperative community can or cannot achieve evolutionary stability. In particular, they found that division of labor (DoL) based cooperations only become stable when the benefits derived from cooperation are equally shared by all members of the community. If the benefit derived from cooperation is divided unequally among the community members, the community remains unstable despite the absence of a cheating phenotype that has invaded the system. As such, this study provides critical insight into the conditions necessary for our proposed co-culture to be stable in the long run, and therefore justifies why we believe auxotrophic coupling is essential for achieving evolutionary stability with DoL alone.</w:t>
      </w:r>
    </w:p>
    <w:p w:rsidR="00000000" w:rsidDel="00000000" w:rsidP="00000000" w:rsidRDefault="00000000" w:rsidRPr="00000000" w14:paraId="00000007">
      <w:pPr>
        <w:pStyle w:val="Heading1"/>
        <w:spacing w:after="240" w:before="240" w:lineRule="auto"/>
        <w:ind w:left="0" w:firstLine="0"/>
        <w:rPr/>
      </w:pPr>
      <w:bookmarkStart w:colFirst="0" w:colLast="0" w:name="_d6kbnk118xiz" w:id="3"/>
      <w:bookmarkEnd w:id="3"/>
      <w:r w:rsidDel="00000000" w:rsidR="00000000" w:rsidRPr="00000000">
        <w:rPr>
          <w:rtl w:val="0"/>
        </w:rPr>
        <w:t xml:space="preserve">Source 4: Adaptive Evolution of Synthetically Designed Cooperating Communities Enhances Growth Performance</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and Reed (2014) created synthetic, cooperating bacterial populations using a leucine/lysine cross-feeding strategy similar to that described in our proposal. They established two E. coli mutants that were unable to synthesize either leucine or lysine, thereby necessitating cross-feeding between them if they were to survive in a glucose only minimal media. Adaptation led to growth rates increasing up to threefold compared to those observed with individual mutant strains. Although subsequent isolation and testing of adapted cultures revealed that each isolate exhibited reduced growth rates when cultured individually, indicating that adaptation had occurred for benefit of cooperation rather than to improve competitiveness against other strains. This study is the closest prior example of our proposed Strain L and Strain K design: providing strong support for the feasibility and effectiveness of reciprocal amino acid cross-feeding as a means of coupling in a cooperative community.</w:t>
      </w:r>
    </w:p>
    <w:p w:rsidR="00000000" w:rsidDel="00000000" w:rsidP="00000000" w:rsidRDefault="00000000" w:rsidRPr="00000000" w14:paraId="00000009">
      <w:pPr>
        <w:pStyle w:val="Heading1"/>
        <w:spacing w:after="240" w:before="240" w:lineRule="auto"/>
        <w:ind w:left="0" w:firstLine="0"/>
        <w:rPr/>
      </w:pPr>
      <w:bookmarkStart w:colFirst="0" w:colLast="0" w:name="_a67afpzwaoh" w:id="4"/>
      <w:bookmarkEnd w:id="4"/>
      <w:r w:rsidDel="00000000" w:rsidR="00000000" w:rsidRPr="00000000">
        <w:rPr>
          <w:rtl w:val="0"/>
        </w:rPr>
        <w:t xml:space="preserve">Source 5: Engineered Interstrain Amino Acid Cross-Feeding Promotes More Uniform Population Distributions Across Multiple Environments</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Ziesack et al. (2019) demonstrated that amino acid cross-feeding consortia exhibit greater population uniformity and environmental resistance than corresponding wild type or control consortia. Furthermore, they showed that engineered cross-feeding consortia are more resistant to invasive competitive species than non-cross feeding consortia, suggesting that mutualistic dependence provides additional stabilization mechanisms beyond simple chemical cross-feeding. While this study focuses primarily on gut environments in mice, it helps establish that amino acid dependency represents a versatile and robust mechanism for promoting stability in complex ecological systems, a finding important for our microbial fuel cell context since it provides confidence that auxotrophic coupling will promote long-term stability regardless of the specific characteristics of the MFC anode chamber.</w:t>
      </w:r>
    </w:p>
    <w:p w:rsidR="00000000" w:rsidDel="00000000" w:rsidP="00000000" w:rsidRDefault="00000000" w:rsidRPr="00000000" w14:paraId="0000000B">
      <w:pPr>
        <w:pStyle w:val="Heading1"/>
        <w:spacing w:after="240" w:before="240" w:lineRule="auto"/>
        <w:ind w:left="0" w:firstLine="0"/>
        <w:rPr/>
      </w:pPr>
      <w:bookmarkStart w:colFirst="0" w:colLast="0" w:name="_6tzbdyvxw34t" w:id="5"/>
      <w:bookmarkEnd w:id="5"/>
      <w:r w:rsidDel="00000000" w:rsidR="00000000" w:rsidRPr="00000000">
        <w:rPr>
          <w:rtl w:val="0"/>
        </w:rPr>
        <w:t xml:space="preserve">Source 6: Long-Term Balance of Mutually Dependent Bacterial Populations Via Auxotrophic Cross-Feeding.</w:t>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recent study published in Nature Communications by Xue et al., (2025) examined whether obligately dependent bacteria could maintain a balanced coexistence with free living variants for extended periods of time (&gt;50 generations) using fluorescent competition assays. Results from this study indicate that obligate amino acid dependent bacteria suppress cheater invasion significantly longer than predicted by theory (and even outcompete cheaters in some cases). Even when mutualism was maintained for many generations, free living variants always remained capable of invading the obligately dependent community once selection pressure dropped sufficiently low. Therefore, mutualism did not prevent eventual loss of obligate dependence entirely. Nevertheless, this study provides solid evidence supporting our major claim regarding evolutionary stability in microbial fuel cell co-cultures; specifically, that obligate amino-acid dependence prevents evolutionary instability due to cheater invasion (at least until environmental pressures drop too low).</w:t>
      </w:r>
    </w:p>
    <w:p w:rsidR="00000000" w:rsidDel="00000000" w:rsidP="00000000" w:rsidRDefault="00000000" w:rsidRPr="00000000" w14:paraId="0000000D">
      <w:pPr>
        <w:pStyle w:val="Heading1"/>
        <w:spacing w:after="240" w:before="240" w:lineRule="auto"/>
        <w:ind w:left="0" w:firstLine="0"/>
        <w:rPr/>
      </w:pPr>
      <w:bookmarkStart w:colFirst="0" w:colLast="0" w:name="_5alxbqe60trg" w:id="6"/>
      <w:bookmarkEnd w:id="6"/>
      <w:r w:rsidDel="00000000" w:rsidR="00000000" w:rsidRPr="00000000">
        <w:rPr>
          <w:rtl w:val="0"/>
        </w:rPr>
        <w:t xml:space="preserve">Source #7: Purification and characterization of OmcZ, an outer-surface c-type cytochrome necessary for optimal current generation.</w:t>
      </w:r>
    </w:p>
    <w:p w:rsidR="00000000" w:rsidDel="00000000" w:rsidP="00000000" w:rsidRDefault="00000000" w:rsidRPr="00000000" w14:paraId="0000000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Nevin et al. (2010) were able to identify OmcZ as the outer-surface c-type cytochrome that limits the rate of current production in Geobacter biofilm. When omcZ was deleted from Geobacter, there was a severe loss in current output. While deleting other c-type cytochromes such as OmcB, OmcE, OmcS and OmcT had a much smaller effect on current output. In addition, OmcZ has been found to be enriched at the surface of the biofilm facing the anode, when producing currents. As a result of this enrichment, the authors suggest that OmcZ is involved in the process of transferring electrons to the anode. Therefore, based upon these findings, Nevin et al. provide justification for targeting OmcZ in our booster circuit design, since out of all the electron transport proteins in Geobacter, OmcZ is the protein that would have the greatest potential to increase current output in our consortium if its expression is overproduced.</w:t>
      </w:r>
    </w:p>
    <w:p w:rsidR="00000000" w:rsidDel="00000000" w:rsidP="00000000" w:rsidRDefault="00000000" w:rsidRPr="00000000" w14:paraId="0000000F">
      <w:pPr>
        <w:pStyle w:val="Heading1"/>
        <w:spacing w:after="240" w:before="240" w:lineRule="auto"/>
        <w:ind w:left="0" w:firstLine="0"/>
        <w:rPr>
          <w:sz w:val="24"/>
          <w:szCs w:val="24"/>
        </w:rPr>
      </w:pPr>
      <w:bookmarkStart w:colFirst="0" w:colLast="0" w:name="_8maafcijupxu" w:id="7"/>
      <w:bookmarkEnd w:id="7"/>
      <w:r w:rsidDel="00000000" w:rsidR="00000000" w:rsidRPr="00000000">
        <w:rPr>
          <w:b w:val="1"/>
          <w:bCs w:val="1"/>
          <w:sz w:val="28"/>
          <w:szCs w:val="28"/>
          <w:rtl w:val="0"/>
        </w:rPr>
        <w:t xml:space="preserve">Source #8: Homologous overexpression of omcZ, a gene for an outer-surface c-type cytochrome of Geobacter sulfurreducens</w:t>
      </w:r>
      <w:r w:rsidDel="00000000" w:rsidR="00000000" w:rsidRPr="00000000">
        <w:rPr>
          <w:sz w:val="24"/>
          <w:szCs w:val="24"/>
          <w:rtl w:val="0"/>
        </w:rPr>
        <w:t xml:space="preserve">.</w:t>
      </w:r>
    </w:p>
    <w:p w:rsidR="00000000" w:rsidDel="00000000" w:rsidP="00000000" w:rsidRDefault="00000000" w:rsidRPr="00000000" w14:paraId="0000001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Richter et al. (2011), demonstrated through their research that homologous overexpression of omcZ resulted in increased extracellular electron transport capabilities in Geobacter versus wild type. Based on these results, Richter et al. provided the first empirical evidence supporting our proposed use of the OmcZ booster circuit: they demonstrate that driving the expression of omcZ constitutively leads to improved current output, which is exactly what we propose to accomplish with our OmcZ_Booster_StrainA and OmcZ_Booster_StrainB Knox circuit designs.</w:t>
      </w:r>
    </w:p>
    <w:p w:rsidR="00000000" w:rsidDel="00000000" w:rsidP="00000000" w:rsidRDefault="00000000" w:rsidRPr="00000000" w14:paraId="00000011">
      <w:pPr>
        <w:pStyle w:val="Heading1"/>
        <w:spacing w:after="240" w:before="240" w:lineRule="auto"/>
        <w:ind w:left="0" w:firstLine="0"/>
        <w:rPr/>
      </w:pPr>
      <w:bookmarkStart w:colFirst="0" w:colLast="0" w:name="_62ukuivuahv9" w:id="8"/>
      <w:bookmarkEnd w:id="8"/>
      <w:r w:rsidDel="00000000" w:rsidR="00000000" w:rsidRPr="00000000">
        <w:rPr>
          <w:rtl w:val="0"/>
        </w:rPr>
        <w:t xml:space="preserve">Source #9: E. coli Antitoxin MazE as transcription factor.</w:t>
      </w:r>
    </w:p>
    <w:p w:rsidR="00000000" w:rsidDel="00000000" w:rsidP="00000000" w:rsidRDefault="00000000" w:rsidRPr="00000000" w14:paraId="0000001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Simanshu et al. (2015) investigated the molecular mechanisms behind the toxin-antitoxin system MazE/MazF. MazF is an RNase that degrades cellular mRNAs at specific ACA sequences leading to cessation of translation and ultimately death of the cell. The corresponding antitoxin MazE binds to MazF under normal conditions and prevents it from acting as a toxin. The ratio of MazE to MazF within the cell controls whether or not the kill switch remains dormant or becomes activated. This system thus offers a highly responsive and adjustable control mechanism. These findings form the basis for our development of KillSwitch_StrainA and KillSwitch_StrainB circuit designs, demonstrating that the mazEF module functions as anticipated and can be used as a synthetic control component.</w:t>
      </w:r>
    </w:p>
    <w:p w:rsidR="00000000" w:rsidDel="00000000" w:rsidP="00000000" w:rsidRDefault="00000000" w:rsidRPr="00000000" w14:paraId="00000013">
      <w:pPr>
        <w:pStyle w:val="Heading1"/>
        <w:spacing w:after="240" w:before="240" w:lineRule="auto"/>
        <w:ind w:left="0" w:firstLine="0"/>
        <w:rPr/>
      </w:pPr>
      <w:bookmarkStart w:colFirst="0" w:colLast="0" w:name="_yaf1tbqydfl4" w:id="9"/>
      <w:bookmarkEnd w:id="9"/>
      <w:r w:rsidDel="00000000" w:rsidR="00000000" w:rsidRPr="00000000">
        <w:rPr>
          <w:rtl w:val="0"/>
        </w:rPr>
        <w:t xml:space="preserve">Source #10: Rational Design of Evolvable Microbial Kill Switches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t xml:space="preserve">Mandell </w:t>
      </w:r>
      <w:r w:rsidDel="00000000" w:rsidR="00000000" w:rsidRPr="00000000">
        <w:rPr>
          <w:rFonts w:ascii="Times New Roman" w:cs="Times New Roman" w:eastAsia="Times New Roman" w:hAnsi="Times New Roman"/>
          <w:sz w:val="24"/>
          <w:szCs w:val="24"/>
          <w:rtl w:val="0"/>
        </w:rPr>
        <w:t xml:space="preserve">et al. (2017) performed extensive testing of toxin antitoxin based kill switches using E. coli over 140+ generations. Their measurements indicated that when designing rationally designed toxin-antitoxin modules kill switches could retain high functionality for many biological generations. These findings provide critical support for our design of kill switches, since they indicate that the mazEF-based systems described in our paper are not going to allow cells to adapt and evade them over time, a major concern for any long term running MFC, and show that design decisions made in our Knox circuits (specifically promoter selection and ribosome binding site tuning) will influence how well kill-switch function is preserved during the simulations.</w:t>
      </w:r>
    </w:p>
    <w:p w:rsidR="00000000" w:rsidDel="00000000" w:rsidP="00000000" w:rsidRDefault="00000000" w:rsidRPr="00000000" w14:paraId="00000015">
      <w:pPr>
        <w:pStyle w:val="Heading1"/>
        <w:spacing w:after="0" w:before="0" w:line="240" w:lineRule="auto"/>
        <w:ind w:left="0" w:firstLine="0"/>
        <w:rPr/>
      </w:pPr>
      <w:bookmarkStart w:colFirst="0" w:colLast="0" w:name="_em9m1zwcbxfk" w:id="10"/>
      <w:bookmarkEnd w:id="10"/>
      <w:r w:rsidDel="00000000" w:rsidR="00000000" w:rsidRPr="00000000">
        <w:rPr>
          <w:rtl w:val="0"/>
        </w:rPr>
        <w:t xml:space="preserve">Source #11: Fitness &amp; Stability of Obligate Cross-Feeding Associations Formed upon the Loss of Biosynthesis Genes in Bacteria</w:t>
        <w:br w:type="textWrapping"/>
      </w:r>
    </w:p>
    <w:p w:rsidR="00000000" w:rsidDel="00000000" w:rsidP="00000000" w:rsidRDefault="00000000" w:rsidRPr="00000000" w14:paraId="00000016">
      <w:pPr>
        <w:rPr/>
      </w:pPr>
      <w:r w:rsidDel="00000000" w:rsidR="00000000" w:rsidRPr="00000000">
        <w:rPr>
          <w:rtl w:val="0"/>
        </w:rPr>
        <w:t xml:space="preserve">In Kost et al. (2014), researchers studied the fitness advantages and ecological stability of obligate cross-feeding associations created when bacteria lose biosynthesis genes. In their findings, the loss of two metabolic genes allowed for an otherwise prototrophic E. coli to become a cooperative strain releasing higher amounts of various amino acids in addition to the one it was incapable of producing alone. Most importantly, they found that the use of obligate cross-feeding gave a substantial fitness benefit compared to metabolic self-sufficiency; additionally, cross-feeding associations have the ability to persistently exist with non-cooperative genotypes in a well-mixed environment absent of spatial heterogeneity. These findings provide us with strong support for our design basis. It has been shown that gene deletion (the exact method that will be used to generate our leucine and lysine auxotrophs) creates strains capable of cooperation with a fitness benefit; and most importantly, that the formed cross-feeding associations are ecologically stable even in well-mixed environments such as our MFC anode chamber.</w:t>
      </w:r>
    </w:p>
    <w:p w:rsidR="00000000" w:rsidDel="00000000" w:rsidP="00000000" w:rsidRDefault="00000000" w:rsidRPr="00000000" w14:paraId="00000017">
      <w:pPr>
        <w:pStyle w:val="Heading1"/>
        <w:ind w:firstLine="0"/>
        <w:rPr/>
      </w:pPr>
      <w:bookmarkStart w:colFirst="0" w:colLast="0" w:name="_9e4f824l85ca" w:id="11"/>
      <w:bookmarkEnd w:id="11"/>
      <w:r w:rsidDel="00000000" w:rsidR="00000000" w:rsidRPr="00000000">
        <w:rPr>
          <w:rtl w:val="0"/>
        </w:rPr>
        <w:t xml:space="preserve">Source #12: Metabolic Cross-Feeding Through Intercellular Nanotubes Between Bacteria</w:t>
      </w:r>
    </w:p>
    <w:p w:rsidR="00000000" w:rsidDel="00000000" w:rsidP="00000000" w:rsidRDefault="00000000" w:rsidRPr="00000000" w14:paraId="00000018">
      <w:pPr>
        <w:spacing w:after="0" w:before="0" w:lineRule="auto"/>
        <w:ind w:firstLine="720"/>
        <w:rPr/>
      </w:pPr>
      <w:r w:rsidDel="00000000" w:rsidR="00000000" w:rsidRPr="00000000">
        <w:rPr>
          <w:rtl w:val="0"/>
        </w:rPr>
        <w:t xml:space="preserve">Pande et al. (2015) identified that E. coli can establish physical connections with neighboring bacterial cells using membrane-derived nanotubular structures that allow direct transfer of cytoplasmic components including amino acids. Furthermore, Pande et al. (2015) observed that these connections between E. coli cells are demand-driven — they are established due to mutations causing auxotrophy, and they cease forming when amino acids are available outside the cell, indicating that starvation for nutrients induces the creation of networks facilitating cross-feeding. As such, Pande et al. (2015) provide a fundamental biological mechanism underlying how leucine and lysine may be transferred between our auxotrophic strains both through passive diffusion into the extracellular environment and through direct cell-to-cell contact, thus enhancing the robustness and independence of the cross-feeding association from extracellular metabolite concentrations in the MFC anode chamber.</w:t>
      </w:r>
    </w:p>
    <w:p w:rsidR="00000000" w:rsidDel="00000000" w:rsidP="00000000" w:rsidRDefault="00000000" w:rsidRPr="00000000" w14:paraId="00000019">
      <w:pPr>
        <w:spacing w:after="0" w:before="0" w:lineRule="auto"/>
        <w:ind w:firstLine="720"/>
        <w:rPr/>
      </w:pPr>
      <w:r w:rsidDel="00000000" w:rsidR="00000000" w:rsidRPr="00000000">
        <w:rPr>
          <w:rtl w:val="0"/>
        </w:rPr>
      </w:r>
    </w:p>
    <w:p w:rsidR="00000000" w:rsidDel="00000000" w:rsidP="00000000" w:rsidRDefault="00000000" w:rsidRPr="00000000" w14:paraId="0000001A">
      <w:pPr>
        <w:pStyle w:val="Heading1"/>
        <w:spacing w:after="0" w:lineRule="auto"/>
        <w:ind w:firstLine="0"/>
        <w:rPr/>
      </w:pPr>
      <w:bookmarkStart w:colFirst="0" w:colLast="0" w:name="_snv16rjx138z" w:id="12"/>
      <w:bookmarkEnd w:id="12"/>
      <w:r w:rsidDel="00000000" w:rsidR="00000000" w:rsidRPr="00000000">
        <w:rPr>
          <w:rtl w:val="0"/>
        </w:rPr>
        <w:t xml:space="preserve">Source #13: Designing Central Metabolic Pathways of Escherichia coli to Improve β-Carotene Synthesis</w:t>
        <w:br w:type="textWrapping"/>
      </w:r>
    </w:p>
    <w:p w:rsidR="00000000" w:rsidDel="00000000" w:rsidP="00000000" w:rsidRDefault="00000000" w:rsidRPr="00000000" w14:paraId="0000001B">
      <w:pPr>
        <w:spacing w:after="0" w:lineRule="auto"/>
        <w:rPr/>
      </w:pPr>
      <w:r w:rsidDel="00000000" w:rsidR="00000000" w:rsidRPr="00000000">
        <w:rPr>
          <w:rtl w:val="0"/>
        </w:rPr>
        <w:t xml:space="preserve">Zhao et al. (2013) demonstrated that the central metabolic pathways of E. coli can be designed in a systematic fashion to significantly enhance the quantity produced and yields of targeted compounds — specifically β-carotene, a terpenoid natural product. By subdividing β-carotene synthesis pathway into five discrete modules and designing each module independently, Zhao et al. (2013) enhanced β-carotene yield by 21-fold reaching 2.1 g/L during fed-batch fermentation. Although β-carotene itself is irrelevant to our research, Zhao et al. (2013) provide evidence of principle demonstrating that E. coli's metabolic capabilities can be systemically modified to over-produce and accumulate specific compounds at very high concentrations — the same type of modification we plan to perform on E. coli circuits that are designed to over-produce and export leucine and lysine to facilitate cross-feeding with Geobacter.</w:t>
      </w:r>
      <w:r w:rsidDel="00000000" w:rsidR="00000000" w:rsidRPr="00000000">
        <w:rPr>
          <w:rtl w:val="0"/>
        </w:rPr>
      </w:r>
    </w:p>
    <w:p w:rsidR="00000000" w:rsidDel="00000000" w:rsidP="00000000" w:rsidRDefault="00000000" w:rsidRPr="00000000" w14:paraId="0000001C">
      <w:pPr>
        <w:pStyle w:val="Heading1"/>
        <w:spacing w:after="0" w:lineRule="auto"/>
        <w:ind w:firstLine="0"/>
        <w:rPr/>
      </w:pPr>
      <w:bookmarkStart w:colFirst="0" w:colLast="0" w:name="_44oshk7f4238" w:id="13"/>
      <w:bookmarkEnd w:id="13"/>
      <w:r w:rsidDel="00000000" w:rsidR="00000000" w:rsidRPr="00000000">
        <w:rPr>
          <w:rtl w:val="0"/>
        </w:rPr>
        <w:t xml:space="preserve">Source #14: Metabolic Engineering &amp; Synthetic Biology Strategies Promoting Isoprenoid Biosynthesis in Escherichia coli</w:t>
        <w:br w:type="textWrapping"/>
      </w:r>
    </w:p>
    <w:p w:rsidR="00000000" w:rsidDel="00000000" w:rsidP="00000000" w:rsidRDefault="00000000" w:rsidRPr="00000000" w14:paraId="0000001D">
      <w:pPr>
        <w:spacing w:after="0" w:lineRule="auto"/>
        <w:rPr/>
      </w:pPr>
      <w:r w:rsidDel="00000000" w:rsidR="00000000" w:rsidRPr="00000000">
        <w:rPr>
          <w:rtl w:val="0"/>
        </w:rPr>
        <w:t xml:space="preserve">The Cao et al. (2017) review describes the status of ongoing efforts utilizing metabolic engineering strategies to redirect E. coli's central carbon metabolism towards high-yielding production of isoprenoids — a large family of natural products. In general, Cao et al. (2017) illustrate how pathway engineering, promoter optimization, and cofactor regulation can be integrated together to induce E. coli to produce compounds that exceed its native capacity. Since isoprenoids are not the focus of our research, Cao et al. (2017) add additional evidence illustrating that E. coli is a highly adaptable model organism for generating strains capable of over-producing specific compounds, thereby providing further evidence for our strategy to engineer E. coli strains capable of constitutive over-production and secretion of amino acids necessary for sustaining cross-feeding within our consortium.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spacing w:after="0" w:lineRule="auto"/>
        <w:ind w:left="0" w:firstLine="0"/>
        <w:rPr/>
      </w:pPr>
      <w:bookmarkStart w:colFirst="0" w:colLast="0" w:name="_5823gdcflbdd" w:id="14"/>
      <w:bookmarkEnd w:id="14"/>
      <w:r w:rsidDel="00000000" w:rsidR="00000000" w:rsidRPr="00000000">
        <w:rPr>
          <w:rtl w:val="0"/>
        </w:rPr>
        <w:t xml:space="preserve">Source #15: Multiscale Engineering of Microbial Cell Factories: A Next Step Toward Developing Sustainable Natural Product Industries</w:t>
        <w:br w:type="textWrapping"/>
      </w:r>
    </w:p>
    <w:p w:rsidR="00000000" w:rsidDel="00000000" w:rsidP="00000000" w:rsidRDefault="00000000" w:rsidRPr="00000000" w14:paraId="00000020">
      <w:pPr>
        <w:spacing w:after="0" w:lineRule="auto"/>
        <w:rPr/>
      </w:pPr>
      <w:r w:rsidDel="00000000" w:rsidR="00000000" w:rsidRPr="00000000">
        <w:rPr>
          <w:rtl w:val="0"/>
        </w:rPr>
        <w:t xml:space="preserve">The 2022 review article in Synthetic and Systems Biotechnology provides an overarching framework for how microbial cells can be engineered at multiple scales — ranging from single-gene circuitry up through whole-population community engineering — to effectively produce target compounds. Additionally, the authors emphasize that reliable compound production necessitates not only the engineering of efficient biochemical pathways but also the consideration of several important factors including metabolic load, population dynamics and evolution, all of which represent some or all of the challenges addressed in our DoL-based and auxotrophic-cross feeding-based designs. Thus, this reference places our proposed multi-layered stability solution (DoL+cross-feeder+kil-switch+booster-circuit) within the larger body of knowledge regarding synthetic biology cell-factory engineering techniques for maintaining functional performance over extended time frames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pStyle w:val="Heading1"/>
        <w:ind w:left="0" w:firstLine="0"/>
        <w:rPr/>
      </w:pPr>
      <w:bookmarkStart w:colFirst="0" w:colLast="0" w:name="_u0st0k5l3d4r" w:id="15"/>
      <w:bookmarkEnd w:id="15"/>
      <w:r w:rsidDel="00000000" w:rsidR="00000000" w:rsidRPr="00000000">
        <w:rPr>
          <w:rtl w:val="0"/>
        </w:rPr>
        <w:t xml:space="preserve">Source #16: Identification of Genes and Gene Products Necessary for Bacterial Bioluminescence </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t xml:space="preserve">Meighen et al. (1984), identification and characterization of the lux operon (genes luxCDABE) associated with bacterial bioluminescence in Vibrio. Provided evidence of the genetic basis for light production as well as the functional role of each of the gene products involved. In particular, the luxAB genes were found to code for the luciferase enzyme responsible for emitting light whereas, the luxCDE genes were found to code for enzymes that are necessary for maintaining the fatty aldehyde substrate that will serve as reactant(s) in the process. As such, this foundational research is also relevant to our project as the lux operon — particularly the lux I / R system — has been identified as an example of a genetic framework for understanding how bacteria can regulate gene expression based on their own population density, i.e., the "quorum sensing" circuitry that we have described in the subsequent source.</w:t>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96dpqwmz56bd" w:id="16"/>
      <w:bookmarkEnd w:id="16"/>
      <w:r w:rsidDel="00000000" w:rsidR="00000000" w:rsidRPr="00000000">
        <w:rPr>
          <w:rtl w:val="0"/>
        </w:rPr>
        <w:t xml:space="preserve">Source #17: Quorum Sensing in Escherichia coli, Salmonella typhimurium, and Vibrio harveyi: A New Family of Genes Responsible for Autoinducer Production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Surette et al. (1999), characterization of a new family of autoinducer-2 (AI-2) synthases encoded by the lux S gene that is conserved among E. coli , Salmonella Typhimurium and Vibrio Harveyi . Demonstrated that quorum sensing through AI-2 was a broad-spectrum mechanism of cell-to-cell communication among bacteria. Furthermore, demonstrated that the ability to produce AI-2 could be transferred from either V. harveyi or E. coli O157:H7 to E. coli DH5α using recombinant DNA technology; thus, demonstrating that quorum sensing circuits were modular and portable among different strains. Finally, this finding is significant to our project since the LuxI/LuxR quorum sensing systems represent a genetically well-defined example of a quorum sensing circuitry model that would allow us to implement similar population-density dependent signals within our consortium designs.</w:t>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2"/>
        <w:keepNext w:val="0"/>
        <w:keepLines w:val="0"/>
        <w:spacing w:after="80" w:line="300" w:lineRule="auto"/>
        <w:rPr>
          <w:rFonts w:ascii="Times New Roman" w:cs="Times New Roman" w:eastAsia="Times New Roman" w:hAnsi="Times New Roman"/>
          <w:b w:val="1"/>
          <w:bCs w:val="1"/>
          <w:sz w:val="24"/>
          <w:szCs w:val="24"/>
        </w:rPr>
      </w:pPr>
      <w:bookmarkStart w:colFirst="0" w:colLast="0" w:name="_btiphkgn6509" w:id="17"/>
      <w:bookmarkEnd w:id="17"/>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keepNext w:val="0"/>
        <w:keepLines w:val="0"/>
        <w:spacing w:after="80" w:line="300" w:lineRule="auto"/>
        <w:rPr>
          <w:rFonts w:ascii="Times New Roman" w:cs="Times New Roman" w:eastAsia="Times New Roman" w:hAnsi="Times New Roman"/>
          <w:b w:val="1"/>
          <w:bCs w:val="1"/>
          <w:sz w:val="24"/>
          <w:szCs w:val="24"/>
        </w:rPr>
      </w:pPr>
      <w:bookmarkStart w:colFirst="0" w:colLast="0" w:name="_qcsdpwe4f2rc" w:id="18"/>
      <w:bookmarkEnd w:id="18"/>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C">
      <w:pPr>
        <w:spacing w:after="120" w:before="120" w:lineRule="auto"/>
        <w:ind w:left="720" w:hanging="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Qu, Youpeng et al. “Use of a coculture to enable current production by geobacter sulfurreducens.” Applied and environmental microbiology vol. 78,9 (2012): 3484-7. doi:10.1128/AEM.00073-12</w:t>
      </w:r>
      <w:r w:rsidDel="00000000" w:rsidR="00000000" w:rsidRPr="00000000">
        <w:rPr>
          <w:rtl w:val="0"/>
        </w:rPr>
      </w:r>
    </w:p>
    <w:p w:rsidR="00000000" w:rsidDel="00000000" w:rsidP="00000000" w:rsidRDefault="00000000" w:rsidRPr="00000000" w14:paraId="0000002D">
      <w:pPr>
        <w:spacing w:after="12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Bourdakos, Nicholas et al. “A defined co-culture of Geobacter sulfurreducens and Escherichia coli in a membrane-less microbial fuel cell.” </w:t>
      </w:r>
      <w:r w:rsidDel="00000000" w:rsidR="00000000" w:rsidRPr="00000000">
        <w:rPr>
          <w:rFonts w:ascii="Times New Roman" w:cs="Times New Roman" w:eastAsia="Times New Roman" w:hAnsi="Times New Roman"/>
          <w:i w:val="1"/>
          <w:iCs w:val="1"/>
          <w:sz w:val="24"/>
          <w:szCs w:val="24"/>
          <w:rtl w:val="0"/>
        </w:rPr>
        <w:t xml:space="preserve">Biotechnology and bioengineering</w:t>
      </w:r>
      <w:r w:rsidDel="00000000" w:rsidR="00000000" w:rsidRPr="00000000">
        <w:rPr>
          <w:rFonts w:ascii="Times New Roman" w:cs="Times New Roman" w:eastAsia="Times New Roman" w:hAnsi="Times New Roman"/>
          <w:sz w:val="24"/>
          <w:szCs w:val="24"/>
          <w:rtl w:val="0"/>
        </w:rPr>
        <w:t xml:space="preserve"> vol. 111,4 (2014): 709-18. doi:10.1002/bit.25137</w:t>
      </w:r>
      <w:r w:rsidDel="00000000" w:rsidR="00000000" w:rsidRPr="00000000">
        <w:rPr>
          <w:rtl w:val="0"/>
        </w:rPr>
      </w:r>
    </w:p>
    <w:p w:rsidR="00000000" w:rsidDel="00000000" w:rsidP="00000000" w:rsidRDefault="00000000" w:rsidRPr="00000000" w14:paraId="0000002E">
      <w:pPr>
        <w:spacing w:after="12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Miaoxiao et al. “Even allocation of benefits stabilizes microbial community engaged in metabolic division of labor.” </w:t>
      </w:r>
      <w:r w:rsidDel="00000000" w:rsidR="00000000" w:rsidRPr="00000000">
        <w:rPr>
          <w:rFonts w:ascii="Times New Roman" w:cs="Times New Roman" w:eastAsia="Times New Roman" w:hAnsi="Times New Roman"/>
          <w:i w:val="1"/>
          <w:iCs w:val="1"/>
          <w:sz w:val="24"/>
          <w:szCs w:val="24"/>
          <w:rtl w:val="0"/>
        </w:rPr>
        <w:t xml:space="preserve">Cell reports</w:t>
      </w:r>
      <w:r w:rsidDel="00000000" w:rsidR="00000000" w:rsidRPr="00000000">
        <w:rPr>
          <w:rFonts w:ascii="Times New Roman" w:cs="Times New Roman" w:eastAsia="Times New Roman" w:hAnsi="Times New Roman"/>
          <w:sz w:val="24"/>
          <w:szCs w:val="24"/>
          <w:rtl w:val="0"/>
        </w:rPr>
        <w:t xml:space="preserve"> vol. 40,13 (2022): 111410. doi:10.1016/j.celrep.2022.111410</w:t>
      </w:r>
      <w:r w:rsidDel="00000000" w:rsidR="00000000" w:rsidRPr="00000000">
        <w:rPr>
          <w:rtl w:val="0"/>
        </w:rPr>
      </w:r>
    </w:p>
    <w:p w:rsidR="00000000" w:rsidDel="00000000" w:rsidP="00000000" w:rsidRDefault="00000000" w:rsidRPr="00000000" w14:paraId="0000002F">
      <w:pPr>
        <w:spacing w:after="12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X, Reed JL (2014) Adaptive Evolution of Synthetic Cooperating Communities Improves Growth Performance. PLOS ONE 9(10): e108297. </w:t>
      </w:r>
      <w:hyperlink r:id="rId6">
        <w:r w:rsidDel="00000000" w:rsidR="00000000" w:rsidRPr="00000000">
          <w:rPr>
            <w:rFonts w:ascii="Times New Roman" w:cs="Times New Roman" w:eastAsia="Times New Roman" w:hAnsi="Times New Roman"/>
            <w:sz w:val="24"/>
            <w:szCs w:val="24"/>
            <w:u w:val="single"/>
            <w:rtl w:val="0"/>
          </w:rPr>
          <w:t xml:space="preserve">https://doi.org/10.1371/journal.pone.0108297</w:t>
        </w:r>
      </w:hyperlink>
      <w:r w:rsidDel="00000000" w:rsidR="00000000" w:rsidRPr="00000000">
        <w:rPr>
          <w:rtl w:val="0"/>
        </w:rPr>
      </w:r>
    </w:p>
    <w:p w:rsidR="00000000" w:rsidDel="00000000" w:rsidP="00000000" w:rsidRDefault="00000000" w:rsidRPr="00000000" w14:paraId="00000030">
      <w:pPr>
        <w:spacing w:after="120" w:before="240" w:lineRule="auto"/>
        <w:ind w:left="720" w:hanging="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Ziesack, Marika et al. “Engineered Interspecies Amino Acid Cross-Feeding Increases Population Evenness in a Synthetic Bacterial Consortium.” </w:t>
      </w:r>
      <w:r w:rsidDel="00000000" w:rsidR="00000000" w:rsidRPr="00000000">
        <w:rPr>
          <w:rFonts w:ascii="Times New Roman" w:cs="Times New Roman" w:eastAsia="Times New Roman" w:hAnsi="Times New Roman"/>
          <w:i w:val="1"/>
          <w:iCs w:val="1"/>
          <w:sz w:val="24"/>
          <w:szCs w:val="24"/>
          <w:rtl w:val="0"/>
        </w:rPr>
        <w:t xml:space="preserve">mSystems</w:t>
      </w:r>
      <w:r w:rsidDel="00000000" w:rsidR="00000000" w:rsidRPr="00000000">
        <w:rPr>
          <w:rFonts w:ascii="Times New Roman" w:cs="Times New Roman" w:eastAsia="Times New Roman" w:hAnsi="Times New Roman"/>
          <w:sz w:val="24"/>
          <w:szCs w:val="24"/>
          <w:rtl w:val="0"/>
        </w:rPr>
        <w:t xml:space="preserve"> 4 (2019): n. pag.</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31">
      <w:pPr>
        <w:spacing w:after="120" w:before="240" w:lineRule="auto"/>
        <w:ind w:left="720" w:hanging="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Grandel, Nicolas E et al. “Long-term homeostasis in microbial consortia via auxotrophic cross-feeding.” </w:t>
      </w:r>
      <w:r w:rsidDel="00000000" w:rsidR="00000000" w:rsidRPr="00000000">
        <w:rPr>
          <w:rFonts w:ascii="Times New Roman" w:cs="Times New Roman" w:eastAsia="Times New Roman" w:hAnsi="Times New Roman"/>
          <w:i w:val="1"/>
          <w:iCs w:val="1"/>
          <w:sz w:val="24"/>
          <w:szCs w:val="24"/>
          <w:rtl w:val="0"/>
        </w:rPr>
        <w:t xml:space="preserve">bioRxiv : the preprint server for biology</w:t>
      </w:r>
      <w:r w:rsidDel="00000000" w:rsidR="00000000" w:rsidRPr="00000000">
        <w:rPr>
          <w:rFonts w:ascii="Times New Roman" w:cs="Times New Roman" w:eastAsia="Times New Roman" w:hAnsi="Times New Roman"/>
          <w:sz w:val="24"/>
          <w:szCs w:val="24"/>
          <w:rtl w:val="0"/>
        </w:rPr>
        <w:t xml:space="preserve"> 2025.01.08.631749. 8 Jan. 2025, doi:10.1101/2025.01.08.631749. Preprint.</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32">
      <w:pPr>
        <w:spacing w:after="120" w:before="240" w:lineRule="auto"/>
        <w:ind w:left="720" w:hanging="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Inoue, Kengo et al. “Purification and characterization of OmcZ, an outer-surface, octaheme c-type cytochrome essential for optimal current production by Geobacter sulfurreducens.” </w:t>
      </w:r>
      <w:r w:rsidDel="00000000" w:rsidR="00000000" w:rsidRPr="00000000">
        <w:rPr>
          <w:rFonts w:ascii="Times New Roman" w:cs="Times New Roman" w:eastAsia="Times New Roman" w:hAnsi="Times New Roman"/>
          <w:i w:val="1"/>
          <w:iCs w:val="1"/>
          <w:sz w:val="24"/>
          <w:szCs w:val="24"/>
          <w:rtl w:val="0"/>
        </w:rPr>
        <w:t xml:space="preserve">Applied and environmental microbiology</w:t>
      </w:r>
      <w:r w:rsidDel="00000000" w:rsidR="00000000" w:rsidRPr="00000000">
        <w:rPr>
          <w:rFonts w:ascii="Times New Roman" w:cs="Times New Roman" w:eastAsia="Times New Roman" w:hAnsi="Times New Roman"/>
          <w:sz w:val="24"/>
          <w:szCs w:val="24"/>
          <w:rtl w:val="0"/>
        </w:rPr>
        <w:t xml:space="preserve"> vol. 76,12 (2010): 3999-4007. doi:10.1128/AEM.00027-10</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33">
      <w:pPr>
        <w:spacing w:after="120" w:before="240" w:lineRule="auto"/>
        <w:ind w:left="720" w:hanging="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Park, Insoon, and Byoung-Chan Kim. “Homologous overexpression of omcZ, a gene for an outer surface c-type cytochrome of Geobacter sulfurreducens by single-step gene replacement.” </w:t>
      </w:r>
      <w:r w:rsidDel="00000000" w:rsidR="00000000" w:rsidRPr="00000000">
        <w:rPr>
          <w:rFonts w:ascii="Times New Roman" w:cs="Times New Roman" w:eastAsia="Times New Roman" w:hAnsi="Times New Roman"/>
          <w:i w:val="1"/>
          <w:iCs w:val="1"/>
          <w:sz w:val="24"/>
          <w:szCs w:val="24"/>
          <w:rtl w:val="0"/>
        </w:rPr>
        <w:t xml:space="preserve">Biotechnology letters</w:t>
      </w:r>
      <w:r w:rsidDel="00000000" w:rsidR="00000000" w:rsidRPr="00000000">
        <w:rPr>
          <w:rFonts w:ascii="Times New Roman" w:cs="Times New Roman" w:eastAsia="Times New Roman" w:hAnsi="Times New Roman"/>
          <w:sz w:val="24"/>
          <w:szCs w:val="24"/>
          <w:rtl w:val="0"/>
        </w:rPr>
        <w:t xml:space="preserve"> vol. 33,10 (2011): 2043-8. doi:10.1007/s10529-011-0668-7</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34">
      <w:pPr>
        <w:spacing w:after="12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Zorzini, Valentina et al. “Escherichia coli antitoxin MazE as transcription factor: insights into MazE-DNA binding.” </w:t>
      </w:r>
      <w:r w:rsidDel="00000000" w:rsidR="00000000" w:rsidRPr="00000000">
        <w:rPr>
          <w:rFonts w:ascii="Times New Roman" w:cs="Times New Roman" w:eastAsia="Times New Roman" w:hAnsi="Times New Roman"/>
          <w:i w:val="1"/>
          <w:iCs w:val="1"/>
          <w:sz w:val="24"/>
          <w:szCs w:val="24"/>
          <w:rtl w:val="0"/>
        </w:rPr>
        <w:t xml:space="preserve">Nucleic acids research</w:t>
      </w:r>
      <w:r w:rsidDel="00000000" w:rsidR="00000000" w:rsidRPr="00000000">
        <w:rPr>
          <w:rFonts w:ascii="Times New Roman" w:cs="Times New Roman" w:eastAsia="Times New Roman" w:hAnsi="Times New Roman"/>
          <w:sz w:val="24"/>
          <w:szCs w:val="24"/>
          <w:rtl w:val="0"/>
        </w:rPr>
        <w:t xml:space="preserve"> vol. 43,2 (2015): 1241-56. doi:10.1093/nar/gku1352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5">
      <w:pPr>
        <w:pStyle w:val="Heading2"/>
        <w:spacing w:after="120" w:before="240" w:lineRule="auto"/>
        <w:ind w:left="720" w:hanging="720"/>
        <w:rPr>
          <w:i w:val="1"/>
          <w:iCs w:val="1"/>
        </w:rPr>
      </w:pPr>
      <w:bookmarkStart w:colFirst="0" w:colLast="0" w:name="_lwwveji7c39x" w:id="19"/>
      <w:bookmarkEnd w:id="19"/>
      <w:r w:rsidDel="00000000" w:rsidR="00000000" w:rsidRPr="00000000">
        <w:rPr>
          <w:rtl w:val="0"/>
        </w:rPr>
        <w:t xml:space="preserve">Stirling, Finn et al. “Rational Design of Evolutionarily Stable Microbial Kill Switches.” </w:t>
      </w:r>
      <w:r w:rsidDel="00000000" w:rsidR="00000000" w:rsidRPr="00000000">
        <w:rPr>
          <w:i w:val="1"/>
          <w:iCs w:val="1"/>
          <w:rtl w:val="0"/>
        </w:rPr>
        <w:t xml:space="preserve">Molecular cell</w:t>
      </w:r>
      <w:r w:rsidDel="00000000" w:rsidR="00000000" w:rsidRPr="00000000">
        <w:rPr>
          <w:rtl w:val="0"/>
        </w:rPr>
        <w:t xml:space="preserve"> vol. 68,4 (2017): 686-697.e3. doi:10.1016/j.molcel.2017.10.033</w:t>
      </w:r>
      <w:r w:rsidDel="00000000" w:rsidR="00000000" w:rsidRPr="00000000">
        <w:rPr>
          <w:i w:val="1"/>
          <w:iCs w:val="1"/>
          <w:rtl w:val="0"/>
        </w:rPr>
        <w:t xml:space="preserve"> </w:t>
      </w:r>
    </w:p>
    <w:p w:rsidR="00000000" w:rsidDel="00000000" w:rsidP="00000000" w:rsidRDefault="00000000" w:rsidRPr="00000000" w14:paraId="00000036">
      <w:pPr>
        <w:pStyle w:val="Heading2"/>
        <w:rPr/>
      </w:pPr>
      <w:bookmarkStart w:colFirst="0" w:colLast="0" w:name="_6yk7s05ulaq9" w:id="20"/>
      <w:bookmarkEnd w:id="20"/>
      <w:r w:rsidDel="00000000" w:rsidR="00000000" w:rsidRPr="00000000">
        <w:rPr>
          <w:rtl w:val="0"/>
        </w:rPr>
        <w:t xml:space="preserve">Pande, Samay et al. “Fitness and stability of obligate cross-feeding interactions that emerge upon gene loss in bacteria.” The ISME journal vol. 8,5 (2014): 953-62. doi:10.1038/ismej.2013.211 </w:t>
      </w:r>
    </w:p>
    <w:p w:rsidR="00000000" w:rsidDel="00000000" w:rsidP="00000000" w:rsidRDefault="00000000" w:rsidRPr="00000000" w14:paraId="00000037">
      <w:pPr>
        <w:pStyle w:val="Heading2"/>
        <w:rPr/>
      </w:pPr>
      <w:bookmarkStart w:colFirst="0" w:colLast="0" w:name="_l9w5dcuznw7p" w:id="21"/>
      <w:bookmarkEnd w:id="21"/>
      <w:r w:rsidDel="00000000" w:rsidR="00000000" w:rsidRPr="00000000">
        <w:rPr>
          <w:rtl w:val="0"/>
        </w:rPr>
        <w:t xml:space="preserve">Pande, Samay et al. “Metabolic cross-feeding via intercellular nanotubes among bacteria.” Nature communications vol. 6 6238. 23 Feb. 2015, doi:10.1038/ncomms7238 </w:t>
      </w:r>
    </w:p>
    <w:p w:rsidR="00000000" w:rsidDel="00000000" w:rsidP="00000000" w:rsidRDefault="00000000" w:rsidRPr="00000000" w14:paraId="00000038">
      <w:pPr>
        <w:ind w:left="0" w:firstLine="0"/>
        <w:rPr/>
      </w:pPr>
      <w:r w:rsidDel="00000000" w:rsidR="00000000" w:rsidRPr="00000000">
        <w:rPr>
          <w:rFonts w:ascii="Roboto" w:cs="Roboto" w:eastAsia="Roboto" w:hAnsi="Roboto"/>
          <w:color w:val="212121"/>
          <w:highlight w:val="white"/>
          <w:rtl w:val="0"/>
        </w:rPr>
        <w:t xml:space="preserve">Zhao, Jing et al. “Engineering central metabolic modules of Escherichia coli for improving β-carotene production.” </w:t>
      </w:r>
      <w:r w:rsidDel="00000000" w:rsidR="00000000" w:rsidRPr="00000000">
        <w:rPr>
          <w:rFonts w:ascii="Roboto" w:cs="Roboto" w:eastAsia="Roboto" w:hAnsi="Roboto"/>
          <w:i w:val="1"/>
          <w:iCs w:val="1"/>
          <w:color w:val="212121"/>
          <w:highlight w:val="white"/>
          <w:rtl w:val="0"/>
        </w:rPr>
        <w:t xml:space="preserve">Metabolic engineering</w:t>
      </w:r>
      <w:r w:rsidDel="00000000" w:rsidR="00000000" w:rsidRPr="00000000">
        <w:rPr>
          <w:rFonts w:ascii="Roboto" w:cs="Roboto" w:eastAsia="Roboto" w:hAnsi="Roboto"/>
          <w:color w:val="212121"/>
          <w:highlight w:val="white"/>
          <w:rtl w:val="0"/>
        </w:rPr>
        <w:t xml:space="preserve"> vol. 17 (2013): 42-50. doi:10.1016/j.ymben.2013.02.002</w:t>
      </w:r>
      <w:r w:rsidDel="00000000" w:rsidR="00000000" w:rsidRPr="00000000">
        <w:rPr>
          <w:rtl w:val="0"/>
        </w:rPr>
        <w:t xml:space="preserve"> </w:t>
      </w:r>
    </w:p>
    <w:p w:rsidR="00000000" w:rsidDel="00000000" w:rsidP="00000000" w:rsidRDefault="00000000" w:rsidRPr="00000000" w14:paraId="00000039">
      <w:pPr>
        <w:ind w:left="0" w:firstLine="0"/>
        <w:rPr/>
      </w:pPr>
      <w:r w:rsidDel="00000000" w:rsidR="00000000" w:rsidRPr="00000000">
        <w:rPr>
          <w:rFonts w:ascii="Roboto" w:cs="Roboto" w:eastAsia="Roboto" w:hAnsi="Roboto"/>
          <w:color w:val="212121"/>
          <w:highlight w:val="white"/>
          <w:rtl w:val="0"/>
        </w:rPr>
        <w:t xml:space="preserve">Wang, Chonglong et al. “Metabolic engineering and synthetic biology approaches driving isoprenoid production in Escherichia coli.” </w:t>
      </w:r>
      <w:r w:rsidDel="00000000" w:rsidR="00000000" w:rsidRPr="00000000">
        <w:rPr>
          <w:rFonts w:ascii="Roboto" w:cs="Roboto" w:eastAsia="Roboto" w:hAnsi="Roboto"/>
          <w:i w:val="1"/>
          <w:iCs w:val="1"/>
          <w:color w:val="212121"/>
          <w:highlight w:val="white"/>
          <w:rtl w:val="0"/>
        </w:rPr>
        <w:t xml:space="preserve">Bioresource technology</w:t>
      </w:r>
      <w:r w:rsidDel="00000000" w:rsidR="00000000" w:rsidRPr="00000000">
        <w:rPr>
          <w:rFonts w:ascii="Roboto" w:cs="Roboto" w:eastAsia="Roboto" w:hAnsi="Roboto"/>
          <w:color w:val="212121"/>
          <w:highlight w:val="white"/>
          <w:rtl w:val="0"/>
        </w:rPr>
        <w:t xml:space="preserve"> vol. 241 (2017): 430-438. doi:10.1016/j.biortech.2017.05.168</w:t>
      </w:r>
      <w:r w:rsidDel="00000000" w:rsidR="00000000" w:rsidRPr="00000000">
        <w:rPr>
          <w:rtl w:val="0"/>
        </w:rPr>
        <w:t xml:space="preserve"> </w:t>
      </w:r>
    </w:p>
    <w:p w:rsidR="00000000" w:rsidDel="00000000" w:rsidP="00000000" w:rsidRDefault="00000000" w:rsidRPr="00000000" w14:paraId="0000003A">
      <w:pPr>
        <w:spacing w:before="240" w:lineRule="auto"/>
        <w:ind w:left="0" w:firstLine="0"/>
        <w:rPr/>
      </w:pPr>
      <w:r w:rsidDel="00000000" w:rsidR="00000000" w:rsidRPr="00000000">
        <w:rPr>
          <w:rtl w:val="0"/>
        </w:rPr>
        <w:t xml:space="preserve">Hussain, Muhammad Hammad, et al. “Multiscale Engineering of Microbial Cell Factories: A Step Forward towards Sustainable Natural Products Industry - Sciencedirect.” </w:t>
      </w:r>
      <w:r w:rsidDel="00000000" w:rsidR="00000000" w:rsidRPr="00000000">
        <w:rPr>
          <w:i w:val="1"/>
          <w:iCs w:val="1"/>
          <w:rtl w:val="0"/>
        </w:rPr>
        <w:t xml:space="preserve">Synthetic and Systems Biotechnology</w:t>
      </w:r>
      <w:r w:rsidDel="00000000" w:rsidR="00000000" w:rsidRPr="00000000">
        <w:rPr>
          <w:rtl w:val="0"/>
        </w:rPr>
        <w:t xml:space="preserve">, Elsevier, Mar. 2022, www.sciencedirect.com/science/article/pii/S2405805X21001010.</w:t>
      </w:r>
    </w:p>
    <w:p w:rsidR="00000000" w:rsidDel="00000000" w:rsidP="00000000" w:rsidRDefault="00000000" w:rsidRPr="00000000" w14:paraId="0000003B">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line="276"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120" w:before="240" w:lineRule="auto"/>
      <w:ind w:left="720" w:hanging="720"/>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371/journal.pone.010829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