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4E79"/>
          <w:sz w:val="32"/>
          <w:szCs w:val="32"/>
        </w:rPr>
        <w:t xml:space="preserve">Debt Service &amp; Budget Brief — v2 (Consolidated)</w:t>
      </w:r>
    </w:p>
    <w:p>
      <w:pPr>
        <w:spacing w:after="40"/>
        <w:jc w:val="center"/>
      </w:pPr>
      <w:r>
        <w:rPr>
          <w:rFonts w:ascii="Arial" w:cs="Arial" w:eastAsia="Arial" w:hAnsi="Arial"/>
          <w:color w:val="444444"/>
          <w:sz w:val="20"/>
          <w:szCs w:val="20"/>
        </w:rPr>
        <w:t xml:space="preserve">Urban Hearth LLC  —  Restaurant Pulse App: Debt Documentation Reference</w:t>
      </w:r>
    </w:p>
    <w:p>
      <w:pPr>
        <w:spacing w:after="300"/>
        <w:jc w:val="center"/>
      </w:pPr>
      <w:r>
        <w:rPr>
          <w:rFonts w:ascii="Arial" w:cs="Arial" w:eastAsia="Arial" w:hAnsi="Arial"/>
          <w:i/>
          <w:iCs/>
          <w:color w:val="666666"/>
          <w:sz w:val="18"/>
          <w:szCs w:val="18"/>
        </w:rPr>
        <w:t xml:space="preserve">Prepared August 11, 2026  |  Supersedes: Debt Service &amp; Budget Brief (July 2026)</w:t>
      </w:r>
    </w:p>
    <w:p>
      <w:pPr>
        <w:pStyle w:val="Heading1"/>
        <w:spacing w:after="120" w:before="320"/>
      </w:pPr>
      <w:r>
        <w:rPr>
          <w:rFonts w:ascii="Arial" w:cs="Arial" w:eastAsia="Arial" w:hAnsi="Arial"/>
          <w:b/>
          <w:bCs/>
          <w:color w:val="1F4E79"/>
          <w:sz w:val="26"/>
          <w:szCs w:val="26"/>
        </w:rPr>
        <w:t xml:space="preserve">0. Document Provenance &amp; Source Precedence</w:t>
      </w:r>
    </w:p>
    <w:p>
      <w:pPr>
        <w:spacing w:after="160"/>
      </w:pPr>
      <w:r>
        <w:rPr>
          <w:rFonts w:ascii="Arial" w:cs="Arial" w:eastAsia="Arial" w:hAnsi="Arial"/>
          <w:b w:val="false"/>
          <w:bCs w:val="false"/>
          <w:i w:val="false"/>
          <w:iCs w:val="false"/>
          <w:color w:val="000000"/>
          <w:sz w:val="20"/>
          <w:szCs w:val="20"/>
        </w:rPr>
        <w:t xml:space="preserve">This document consolidates four source materials into one up-to-date reference. Where sources conflict, the precedence below governs.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Precedence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Debt Service &amp; Budget Brief.docx (Jul 2026)</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Original context-handoff document — written to brief a coding session on this app's Debt Service / Cash Flow tab, not maintained as a legal or financial record.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Superseded by this document. Retained only as historical background; every figure it contains has been re-verified against the sources below.</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investor_loans_v6.xlsx + Eastern_Bank_Loan_Amortization_Reference.xlsx</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Full amortization schedules (principal/interest split per payment) for the SBA loan and the 7 original investor loans.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Authoritative for SBA + the 7 original investor loans (Chen, Savage, Schaefer, Gilreath, Mis, Price, Reid) — unaffected by this update.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UrbanHearth_Jones_Promissory_Note.pdf
UrbanHearth_Miller_Promissory_Note.pdf (signed notes, dated June 2026)</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The actual signed legal instruments for the Jones and Miller loans.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Authoritative for Jones &amp; Miller, overriding both the brief and investor_loans_v6.xlsx's “2750 Jones” / “2755 Miller” tabs wherever they differ.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24"/>
              <w:bottom w:val="single" w:color="1F4E79" w:sz="4"/>
              <w:right w:val="single" w:color="1F4E79" w:sz="4"/>
            </w:tcBorders>
            <w:shd w:fill="FBFBFB" w:val="clear"/>
            <w:tcMar>
              <w:top w:type="dxa" w:w="160"/>
              <w:left w:type="dxa" w:w="220"/>
              <w:bottom w:type="dxa" w:w="160"/>
              <w:right w:type="dxa" w:w="220"/>
            </w:tcMar>
          </w:tcPr>
          <w:p>
            <w:pPr>
              <w:spacing w:after="80"/>
            </w:pPr>
            <w:r>
              <w:rPr>
                <w:rFonts w:ascii="Arial" w:cs="Arial" w:eastAsia="Arial" w:hAnsi="Arial"/>
                <w:b/>
                <w:bCs/>
                <w:color w:val="1F4E79"/>
                <w:sz w:val="20"/>
                <w:szCs w:val="20"/>
              </w:rPr>
              <w:t xml:space="preserve">What changed in this revision</w:t>
            </w:r>
          </w:p>
          <w:p>
            <w:pPr>
              <w:spacing w:after="60"/>
            </w:pPr>
            <w:r>
              <w:rPr>
                <w:rFonts w:ascii="Arial" w:cs="Arial" w:eastAsia="Arial" w:hAnsi="Arial"/>
                <w:sz w:val="19"/>
                <w:szCs w:val="19"/>
              </w:rPr>
              <w:t xml:space="preserve">Jones &amp; Miller's modeled regular monthly payment is corrected from $2,745.91 to $2,750.31 per loan, to match the signed promissory notes.</w:t>
            </w:r>
          </w:p>
          <w:p>
            <w:pPr>
              <w:spacing w:after="60"/>
            </w:pPr>
            <w:r>
              <w:rPr>
                <w:rFonts w:ascii="Arial" w:cs="Arial" w:eastAsia="Arial" w:hAnsi="Arial"/>
                <w:sz w:val="19"/>
                <w:szCs w:val="19"/>
              </w:rPr>
              <w:t xml:space="preserve">The catch-up interest figures ($1,146.00 Jones / $1,130.30 Miller) are unchanged — they match exactly across the brief, the xlsx model, and the signed notes.</w:t>
            </w:r>
          </w:p>
          <w:p>
            <w:pPr>
              <w:spacing w:after="60"/>
            </w:pPr>
            <w:r>
              <w:rPr>
                <w:rFonts w:ascii="Arial" w:cs="Arial" w:eastAsia="Arial" w:hAnsi="Arial"/>
                <w:sz w:val="19"/>
                <w:szCs w:val="19"/>
              </w:rPr>
              <w:t xml:space="preserve">A real error was found in investor_loans_v6.xlsx's Jones/Miller amortization: its $2,745.91 payment does not fully amortize $150,000 at 3.82% over 60 months — it leaves a $290.43 balance unpaid. The signed notes' $2,750.31 is the mathematically correct fully-amortizing payment (verified by recomputation: ends within $0.04 of zero). See Section 1.</w:t>
            </w:r>
          </w:p>
          <w:p>
            <w:pPr>
              <w:spacing w:after="60"/>
            </w:pPr>
            <w:r>
              <w:rPr>
                <w:rFonts w:ascii="Arial" w:cs="Arial" w:eastAsia="Arial" w:hAnsi="Arial"/>
                <w:sz w:val="19"/>
                <w:szCs w:val="19"/>
              </w:rPr>
              <w:t xml:space="preserve">A discrepancy was found between Restaurant Pulse's budgeted “Account 7020 Loan Interest” figures and the correct P&amp;L-only interest amounts — see Section 4b.</w:t>
            </w:r>
          </w:p>
        </w:tc>
      </w:tr>
    </w:tbl>
    <w:p>
      <w:pPr>
        <w:pStyle w:val="Heading1"/>
        <w:spacing w:after="120" w:before="320"/>
      </w:pPr>
      <w:r>
        <w:rPr>
          <w:rFonts w:ascii="Arial" w:cs="Arial" w:eastAsia="Arial" w:hAnsi="Arial"/>
          <w:b/>
          <w:bCs/>
          <w:color w:val="1F4E79"/>
          <w:sz w:val="26"/>
          <w:szCs w:val="26"/>
        </w:rPr>
        <w:t xml:space="preserve">1. Full Loan Portfolio</w:t>
      </w:r>
    </w:p>
    <w:p>
      <w:pPr>
        <w:spacing w:after="160"/>
      </w:pPr>
      <w:r>
        <w:rPr>
          <w:rFonts w:ascii="Arial" w:cs="Arial" w:eastAsia="Arial" w:hAnsi="Arial"/>
          <w:b w:val="false"/>
          <w:bCs w:val="false"/>
          <w:i w:val="false"/>
          <w:iCs w:val="false"/>
          <w:color w:val="000000"/>
          <w:sz w:val="20"/>
          <w:szCs w:val="20"/>
        </w:rPr>
        <w:t xml:space="preserve">Urban Hearth carries 10 loans across three categories. Payments fall on three different dates each month.</w:t>
      </w:r>
    </w:p>
    <w:p>
      <w:pPr>
        <w:pStyle w:val="Heading2"/>
        <w:spacing w:after="100" w:before="220"/>
      </w:pPr>
      <w:r>
        <w:rPr>
          <w:rFonts w:ascii="Arial" w:cs="Arial" w:eastAsia="Arial" w:hAnsi="Arial"/>
          <w:b/>
          <w:bCs/>
          <w:color w:val="1F4E79"/>
          <w:sz w:val="22"/>
          <w:szCs w:val="22"/>
        </w:rPr>
        <w:t xml:space="preserve">SBA Loan — Eastern Bank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Principal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$500,000.00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Payment Day</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12th of each month</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Rate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7.45% (Actual/365)</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First Payment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July 12, 2026</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Term</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114 months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Monthly Payment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$6,161.18 (fixed)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Interest Method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Actual/365 — varies monthly</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QBO Account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2740 SBA Loan – Eastern Bank</w:t>
            </w:r>
          </w:p>
        </w:tc>
      </w:tr>
    </w:tbl>
    <w:p>
      <w:pPr>
        <w:spacing w:before="240"/>
      </w:pPr>
    </w:p>
    <w:p>
      <w:pPr>
        <w:pStyle w:val="Heading2"/>
        <w:spacing w:after="100" w:before="220"/>
      </w:pPr>
      <w:r>
        <w:rPr>
          <w:rFonts w:ascii="Arial" w:cs="Arial" w:eastAsia="Arial" w:hAnsi="Arial"/>
          <w:b/>
          <w:bCs/>
          <w:color w:val="1F4E79"/>
          <w:sz w:val="22"/>
          <w:szCs w:val="22"/>
        </w:rPr>
        <w:t xml:space="preserve">Original 7 Investor Loans — Payment Day: 20th (unchanged)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300"/>
        <w:gridCol w:w="1000"/>
        <w:gridCol w:w="1450"/>
        <w:gridCol w:w="1650"/>
        <w:gridCol w:w="166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Lender</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Principal</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Rate</w:t>
            </w:r>
          </w:p>
        </w:tc>
        <w:tc>
          <w:tcPr>
            <w:tcW w:type="dxa" w:w="14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Monthly Pmt</w:t>
            </w:r>
          </w:p>
        </w:tc>
        <w:tc>
          <w:tcPr>
            <w:tcW w:type="dxa" w:w="16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Monthly Interest (30/360)</w:t>
            </w:r>
          </w:p>
        </w:tc>
        <w:tc>
          <w:tcPr>
            <w:tcW w:type="dxa" w:w="1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First Payment</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2735</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Notes Pay – Chen</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$150,000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8.00%</w:t>
            </w:r>
          </w:p>
        </w:tc>
        <w:tc>
          <w:tcPr>
            <w:tcW w:type="dxa" w:w="14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$3,041.46</w:t>
            </w:r>
          </w:p>
        </w:tc>
        <w:tc>
          <w:tcPr>
            <w:tcW w:type="dxa" w:w="16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$1,000.00</w:t>
            </w:r>
          </w:p>
        </w:tc>
        <w:tc>
          <w:tcPr>
            <w:tcW w:type="dxa" w:w="16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Dec 20, 2026</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2705</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Notes Pay – Savage</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$50,000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9.00%</w:t>
            </w:r>
          </w:p>
        </w:tc>
        <w:tc>
          <w:tcPr>
            <w:tcW w:type="dxa" w:w="14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$1,037.92</w:t>
            </w:r>
          </w:p>
        </w:tc>
        <w:tc>
          <w:tcPr>
            <w:tcW w:type="dxa" w:w="16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$375.00</w:t>
            </w:r>
          </w:p>
        </w:tc>
        <w:tc>
          <w:tcPr>
            <w:tcW w:type="dxa" w:w="16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Dec 20, 2026</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2720</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Notes Pay – Schaefer</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$100,000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9.00%</w:t>
            </w:r>
          </w:p>
        </w:tc>
        <w:tc>
          <w:tcPr>
            <w:tcW w:type="dxa" w:w="14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$2,075.84</w:t>
            </w:r>
          </w:p>
        </w:tc>
        <w:tc>
          <w:tcPr>
            <w:tcW w:type="dxa" w:w="16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$750.00</w:t>
            </w:r>
          </w:p>
        </w:tc>
        <w:tc>
          <w:tcPr>
            <w:tcW w:type="dxa" w:w="16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Dec 20, 2026</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2725</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Notes Pay – Gilreath</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$50,000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9.00%</w:t>
            </w:r>
          </w:p>
        </w:tc>
        <w:tc>
          <w:tcPr>
            <w:tcW w:type="dxa" w:w="14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$1,037.92</w:t>
            </w:r>
          </w:p>
        </w:tc>
        <w:tc>
          <w:tcPr>
            <w:tcW w:type="dxa" w:w="16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$375.00</w:t>
            </w:r>
          </w:p>
        </w:tc>
        <w:tc>
          <w:tcPr>
            <w:tcW w:type="dxa" w:w="16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Dec 20, 2026</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2730</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Notes Pay – Mis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$50,000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9.00%</w:t>
            </w:r>
          </w:p>
        </w:tc>
        <w:tc>
          <w:tcPr>
            <w:tcW w:type="dxa" w:w="14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$1,037.92</w:t>
            </w:r>
          </w:p>
        </w:tc>
        <w:tc>
          <w:tcPr>
            <w:tcW w:type="dxa" w:w="16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$375.00</w:t>
            </w:r>
          </w:p>
        </w:tc>
        <w:tc>
          <w:tcPr>
            <w:tcW w:type="dxa" w:w="16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Dec 20, 2026</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2740</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Notes Pay – Price</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$50,000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6.00%</w:t>
            </w:r>
          </w:p>
        </w:tc>
        <w:tc>
          <w:tcPr>
            <w:tcW w:type="dxa" w:w="14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$966.64</w:t>
            </w:r>
          </w:p>
        </w:tc>
        <w:tc>
          <w:tcPr>
            <w:tcW w:type="dxa" w:w="16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$250.00</w:t>
            </w:r>
          </w:p>
        </w:tc>
        <w:tc>
          <w:tcPr>
            <w:tcW w:type="dxa" w:w="16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Dec 20, 2026</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2745</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Notes Pay – Reid</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$100,000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6.00%</w:t>
            </w:r>
          </w:p>
        </w:tc>
        <w:tc>
          <w:tcPr>
            <w:tcW w:type="dxa" w:w="14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$1,933.28</w:t>
            </w:r>
          </w:p>
        </w:tc>
        <w:tc>
          <w:tcPr>
            <w:tcW w:type="dxa" w:w="16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$500.00</w:t>
            </w:r>
          </w:p>
        </w:tc>
        <w:tc>
          <w:tcPr>
            <w:tcW w:type="dxa" w:w="16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Dec 20, 2026</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TOTALS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$550,000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w:r>
          </w:p>
        </w:tc>
        <w:tc>
          <w:tcPr>
            <w:tcW w:type="dxa" w:w="14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$11,130.98</w:t>
            </w:r>
          </w:p>
        </w:tc>
        <w:tc>
          <w:tcPr>
            <w:tcW w:type="dxa" w:w="16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$3,625.00</w:t>
            </w:r>
          </w:p>
        </w:tc>
        <w:tc>
          <w:tcPr>
            <w:tcW w:type="dxa" w:w="16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w:r>
          </w:p>
        </w:tc>
      </w:tr>
    </w:tbl>
    <w:p>
      <w:pPr>
        <w:spacing w:after="200"/>
      </w:pPr>
      <w:r>
        <w:rPr>
          <w:rFonts w:ascii="Arial" w:cs="Arial" w:eastAsia="Arial" w:hAnsi="Arial"/>
          <w:b w:val="false"/>
          <w:bCs w:val="false"/>
          <w:i/>
          <w:iCs/>
          <w:color w:val="000000"/>
          <w:sz w:val="18"/>
          <w:szCs w:val="18"/>
        </w:rPr>
        <w:t xml:space="preserve">⚠ Dec 20, 2026 also includes one-time catch-up interest of $50,562.50 across all 7 loans (see Section 3).</w:t>
      </w:r>
    </w:p>
    <w:p>
      <w:pPr>
        <w:pStyle w:val="Heading2"/>
        <w:spacing w:after="100" w:before="220"/>
      </w:pPr>
      <w:r>
        <w:rPr>
          <w:rFonts w:ascii="Arial" w:cs="Arial" w:eastAsia="Arial" w:hAnsi="Arial"/>
          <w:b/>
          <w:bCs/>
          <w:color w:val="1F4E79"/>
          <w:sz w:val="22"/>
          <w:szCs w:val="22"/>
        </w:rPr>
        <w:t xml:space="preserve">Jones &amp; Miller Loans — Payment Day: 15th (corrected to match signed notes)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100"/>
        <w:gridCol w:w="1750"/>
        <w:gridCol w:w="1250"/>
        <w:gridCol w:w="950"/>
        <w:gridCol w:w="1450"/>
        <w:gridCol w:w="1750"/>
        <w:gridCol w:w="131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Acct</w:t>
            </w:r>
          </w:p>
        </w:tc>
        <w:tc>
          <w:tcPr>
            <w:tcW w:type="dxa" w:w="17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Lender</w:t>
            </w:r>
          </w:p>
        </w:tc>
        <w:tc>
          <w:tcPr>
            <w:tcW w:type="dxa" w:w="12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Principal</w:t>
            </w:r>
          </w:p>
        </w:tc>
        <w:tc>
          <w:tcPr>
            <w:tcW w:type="dxa" w:w="9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Rate</w:t>
            </w:r>
          </w:p>
        </w:tc>
        <w:tc>
          <w:tcPr>
            <w:tcW w:type="dxa" w:w="14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Monthly Pmt</w:t>
            </w:r>
          </w:p>
        </w:tc>
        <w:tc>
          <w:tcPr>
            <w:tcW w:type="dxa" w:w="17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First Payment (incl. catch-up)</w:t>
            </w:r>
          </w:p>
        </w:tc>
        <w:tc>
          <w:tcPr>
            <w:tcW w:type="dxa" w:w="13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Regular Pmts Begin</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2750</w:t>
            </w:r>
          </w:p>
        </w:tc>
        <w:tc>
          <w:tcPr>
            <w:tcW w:type="dxa" w:w="17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Notes Pay – Jones</w:t>
            </w:r>
          </w:p>
        </w:tc>
        <w:tc>
          <w:tcPr>
            <w:tcW w:type="dxa" w:w="12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$150,000</w:t>
            </w:r>
          </w:p>
        </w:tc>
        <w:tc>
          <w:tcPr>
            <w:tcW w:type="dxa" w:w="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3.82%</w:t>
            </w:r>
          </w:p>
        </w:tc>
        <w:tc>
          <w:tcPr>
            <w:tcW w:type="dxa" w:w="14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1E7A34"/>
                <w:sz w:val="18"/>
                <w:szCs w:val="18"/>
              </w:rPr>
              <w:t xml:space="preserve">$2,750.31</w:t>
            </w:r>
          </w:p>
        </w:tc>
        <w:tc>
          <w:tcPr>
            <w:tcW w:type="dxa" w:w="17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$3,896.31 (Aug 15, 2026)</w:t>
            </w:r>
          </w:p>
        </w:tc>
        <w:tc>
          <w:tcPr>
            <w:tcW w:type="dxa" w:w="131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Sep 15, 2026</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2755</w:t>
            </w:r>
          </w:p>
        </w:tc>
        <w:tc>
          <w:tcPr>
            <w:tcW w:type="dxa" w:w="17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Notes Pay – Miller</w:t>
            </w:r>
          </w:p>
        </w:tc>
        <w:tc>
          <w:tcPr>
            <w:tcW w:type="dxa" w:w="12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$150,000</w:t>
            </w:r>
          </w:p>
        </w:tc>
        <w:tc>
          <w:tcPr>
            <w:tcW w:type="dxa" w:w="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3.82%</w:t>
            </w:r>
          </w:p>
        </w:tc>
        <w:tc>
          <w:tcPr>
            <w:tcW w:type="dxa" w:w="14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1E7A34"/>
                <w:sz w:val="18"/>
                <w:szCs w:val="18"/>
              </w:rPr>
              <w:t xml:space="preserve">$2,750.31</w:t>
            </w:r>
          </w:p>
        </w:tc>
        <w:tc>
          <w:tcPr>
            <w:tcW w:type="dxa" w:w="17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$3,880.61 (Aug 15, 2026)</w:t>
            </w:r>
          </w:p>
        </w:tc>
        <w:tc>
          <w:tcPr>
            <w:tcW w:type="dxa" w:w="131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Sep 15, 2026</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w:r>
          </w:p>
        </w:tc>
        <w:tc>
          <w:tcPr>
            <w:tcW w:type="dxa" w:w="17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TOTALS</w:t>
            </w:r>
          </w:p>
        </w:tc>
        <w:tc>
          <w:tcPr>
            <w:tcW w:type="dxa" w:w="12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$300,000</w:t>
            </w:r>
          </w:p>
        </w:tc>
        <w:tc>
          <w:tcPr>
            <w:tcW w:type="dxa" w:w="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w:r>
          </w:p>
        </w:tc>
        <w:tc>
          <w:tcPr>
            <w:tcW w:type="dxa" w:w="14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1E7A34"/>
                <w:sz w:val="18"/>
                <w:szCs w:val="18"/>
              </w:rPr>
              <w:t xml:space="preserve">$5,500.62</w:t>
            </w:r>
          </w:p>
        </w:tc>
        <w:tc>
          <w:tcPr>
            <w:tcW w:type="dxa" w:w="17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$7,776.92</w:t>
            </w:r>
          </w:p>
        </w:tc>
        <w:tc>
          <w:tcPr>
            <w:tcW w:type="dxa" w:w="131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w:r>
          </w:p>
        </w:tc>
      </w:tr>
    </w:tbl>
    <w:p>
      <w:pPr>
        <w:spacing w:after="100"/>
      </w:pPr>
      <w:r>
        <w:rPr>
          <w:rFonts w:ascii="Arial" w:cs="Arial" w:eastAsia="Arial" w:hAnsi="Arial"/>
          <w:b w:val="false"/>
          <w:bCs w:val="false"/>
          <w:i/>
          <w:iCs/>
          <w:color w:val="000000"/>
          <w:sz w:val="18"/>
          <w:szCs w:val="18"/>
        </w:rPr>
        <w:t xml:space="preserve">Loan Date: Jones June 3, 2026 · Miller June 4, 2026.  Maturity: Jones June 3, 2031 · Miller June 4, 2031 (60-month term). Interest: 3.82% per annum (April 2026 Mid-Term AFR), calculated Actual/365 for the catch-up period, standard monthly amortization thereafter, applied first to accrued interest then to principal. Prepayable at any time without penalty — both notes state the Borrower's intention to make voluntary lump-sum principal prepayments as cash flow permits.</w:t>
      </w:r>
    </w:p>
    <w:p>
      <w:pPr>
        <w:spacing w:after="240"/>
      </w:pPr>
      <w:r>
        <w:rPr>
          <w:rFonts w:ascii="Arial" w:cs="Arial" w:eastAsia="Arial" w:hAnsi="Arial"/>
          <w:b w:val="false"/>
          <w:bCs w:val="false"/>
          <w:i/>
          <w:iCs/>
          <w:color w:val="000000"/>
          <w:sz w:val="18"/>
          <w:szCs w:val="18"/>
        </w:rPr>
        <w:t xml:space="preserve">⚠ Aug 15, 2026 first payment includes catch-up interest: Jones $1,146.00 (73 days) + Miller $1,130.30 (72 days) = $2,276.30 additional — confirmed identical in the signed notes, the brief, and investor_loans_v6.xlsx.</w:t>
      </w:r>
    </w:p>
    <w:p>
      <w:pPr>
        <w:pStyle w:val="Heading1"/>
        <w:spacing w:after="120" w:before="320"/>
      </w:pPr>
      <w:r>
        <w:rPr>
          <w:rFonts w:ascii="Arial" w:cs="Arial" w:eastAsia="Arial" w:hAnsi="Arial"/>
          <w:b/>
          <w:bCs/>
          <w:color w:val="1F4E79"/>
          <w:sz w:val="26"/>
          <w:szCs w:val="26"/>
        </w:rPr>
        <w:t xml:space="preserve">2. Monthly Payment Schedule — Ramp-Up Through Steady State (corrected)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200"/>
        <w:gridCol w:w="2200"/>
        <w:gridCol w:w="2360"/>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Period</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SBA (12th)</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Jones &amp; Miller (15th)</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Investor 7 (20th)</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Monthly Total</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Jul 2026</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$6,161.18</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$6,161.18</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Aug 2026</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$6,161.18</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E7A34"/>
                <w:sz w:val="18"/>
                <w:szCs w:val="18"/>
              </w:rPr>
              <w:t xml:space="preserve">$7,776.92 *</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E7A34"/>
                <w:sz w:val="18"/>
                <w:szCs w:val="18"/>
              </w:rPr>
              <w:t xml:space="preserve">$13,938.10 *</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Sep 2026</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$6,161.18</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$5,500.62</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$11,661.80</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Oct 2026</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$6,161.18</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$5,500.62</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$11,661.80</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Nov 2026</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$6,161.18</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$5,500.62</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$11,661.80</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Dec 2026</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$6,161.18</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$5,500.62</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$61,693.48 **</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$73,355.28 **</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Jan 2027+</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$6,161.18</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$5,500.62</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$11,130.98</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$22,792.78</w:t>
            </w:r>
          </w:p>
        </w:tc>
      </w:tr>
    </w:tbl>
    <w:p>
      <w:pPr>
        <w:spacing w:after="60"/>
      </w:pPr>
      <w:r>
        <w:rPr>
          <w:rFonts w:ascii="Arial" w:cs="Arial" w:eastAsia="Arial" w:hAnsi="Arial"/>
          <w:b w:val="false"/>
          <w:bCs w:val="false"/>
          <w:i/>
          <w:iCs/>
          <w:color w:val="000000"/>
          <w:sz w:val="18"/>
          <w:szCs w:val="18"/>
        </w:rPr>
        <w:t xml:space="preserve">* August Jones &amp; Miller includes catch-up interest of $2,276.30 ($1,146 Jones + $1,130.30 Miller) on top of the regular $5,500.62 combined installment. Corrected from the brief's $7,768.12 (which used the xlsx's uncorrected $2,745.91 payment).</w:t>
      </w:r>
    </w:p>
    <w:p>
      <w:pPr>
        <w:spacing w:after="200"/>
      </w:pPr>
      <w:r>
        <w:rPr>
          <w:rFonts w:ascii="Arial" w:cs="Arial" w:eastAsia="Arial" w:hAnsi="Arial"/>
          <w:b w:val="false"/>
          <w:bCs w:val="false"/>
          <w:i/>
          <w:iCs/>
          <w:color w:val="000000"/>
          <w:sz w:val="18"/>
          <w:szCs w:val="18"/>
        </w:rPr>
        <w:t xml:space="preserve">** December Investor 7 includes one-time catch-up interest of $50,562.50 plus first installment of $11,130.98.</w:t>
      </w:r>
    </w:p>
    <w:p>
      <w:pPr>
        <w:pStyle w:val="Heading1"/>
        <w:spacing w:after="120" w:before="320"/>
      </w:pPr>
      <w:r>
        <w:rPr>
          <w:rFonts w:ascii="Arial" w:cs="Arial" w:eastAsia="Arial" w:hAnsi="Arial"/>
          <w:b/>
          <w:bCs/>
          <w:color w:val="1F4E79"/>
          <w:sz w:val="26"/>
          <w:szCs w:val="26"/>
        </w:rPr>
        <w:t xml:space="preserve">3. December 20, 2026 — First Investor Payment Detail (unchanged)</w:t>
      </w:r>
    </w:p>
    <w:p>
      <w:pPr>
        <w:spacing w:after="160"/>
      </w:pPr>
      <w:r>
        <w:rPr>
          <w:rFonts w:ascii="Arial" w:cs="Arial" w:eastAsia="Arial" w:hAnsi="Arial"/>
          <w:b w:val="false"/>
          <w:bCs w:val="false"/>
          <w:i w:val="false"/>
          <w:iCs w:val="false"/>
          <w:color w:val="000000"/>
          <w:sz w:val="20"/>
          <w:szCs w:val="20"/>
        </w:rPr>
        <w:t xml:space="preserve">This is the largest single outflow event. The loan reserve savings plan (see Section 6) is specifically designed to fund the catch-up portion.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360"/>
        <w:gridCol w:w="22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Amount</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Account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Nature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Catch-up interest — all 7 loans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$50,562.50</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2365 Accrued Int Payable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Clears 2365 balance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Payment #1 — all 7 loans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$11,130.98</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Notes Payable + Int Exp</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Regular installment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TOTAL DUE DEC 20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$61,693.48</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w:r>
          </w:p>
        </w:tc>
      </w:tr>
    </w:tbl>
    <w:p>
      <w:pPr>
        <w:pStyle w:val="Heading1"/>
        <w:spacing w:after="120" w:before="320"/>
      </w:pPr>
      <w:r>
        <w:rPr>
          <w:rFonts w:ascii="Arial" w:cs="Arial" w:eastAsia="Arial" w:hAnsi="Arial"/>
          <w:b/>
          <w:bCs/>
          <w:color w:val="1F4E79"/>
          <w:sz w:val="26"/>
          <w:szCs w:val="26"/>
        </w:rPr>
        <w:t xml:space="preserve">4. Updated Budget — Account 7020 Loan Interest (Jul–Dec 2026, corrected)</w:t>
      </w:r>
    </w:p>
    <w:p>
      <w:pPr>
        <w:spacing w:after="160"/>
      </w:pPr>
      <w:r>
        <w:rPr>
          <w:rFonts w:ascii="Arial" w:cs="Arial" w:eastAsia="Arial" w:hAnsi="Arial"/>
          <w:b w:val="false"/>
          <w:bCs w:val="false"/>
          <w:i w:val="false"/>
          <w:iCs w:val="false"/>
          <w:color w:val="000000"/>
          <w:sz w:val="20"/>
          <w:szCs w:val="20"/>
        </w:rPr>
        <w:t xml:space="preserve">Figures below reflect the corrected Jones &amp; Miller amortization (Section 1). Per the accounting treatment confirmed in Section 4b, catch-up interest does NOT hit the P&amp;L in the month it's paid — it was expensed monthly via accrual journal entries as it accrued, and the December/August cash payments merely clear the 2365 Accrued Interest Payable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Jul</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Aug</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Sep</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Oct</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Nov</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Dec</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SBA (A/365)</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$3,104.17</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$3,188.03</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$3,168.95</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$3,048.15</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$3,129.79</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$3,010.01</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Jones &amp; Miller (corrected)</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$955.00 †</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$940.52</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$926.02</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$911.46</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$896.84</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Investor 7</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$3,625.00</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7020 Loan Interest Total</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$3,104.17</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$4,143.03</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$4,109.47</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$3,974.17</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$4,041.25</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$7,531.85</w:t>
            </w:r>
          </w:p>
        </w:tc>
      </w:tr>
    </w:tbl>
    <w:p>
      <w:pPr>
        <w:spacing w:after="60"/>
      </w:pPr>
      <w:r>
        <w:rPr>
          <w:rFonts w:ascii="Arial" w:cs="Arial" w:eastAsia="Arial" w:hAnsi="Arial"/>
          <w:b w:val="false"/>
          <w:bCs w:val="false"/>
          <w:i/>
          <w:iCs/>
          <w:color w:val="000000"/>
          <w:sz w:val="18"/>
          <w:szCs w:val="18"/>
        </w:rPr>
        <w:t xml:space="preserve">† August Jones &amp; Miller's regular-installment interest is $955.00 — identical whether modeled at $2,745.91 or $2,750.31/month, because the first month's interest is simply the full $150,000 balance × rate ≡ 12, unaffected by the payment amount. The correction shows up starting September, as the corrected schedule's faster principal paydown very slightly reduces later months' interest.</w:t>
      </w:r>
    </w:p>
    <w:p>
      <w:pPr>
        <w:spacing w:after="220"/>
      </w:pPr>
      <w:r>
        <w:rPr>
          <w:rFonts w:ascii="Arial" w:cs="Arial" w:eastAsia="Arial" w:hAnsi="Arial"/>
          <w:b w:val="false"/>
          <w:bCs w:val="false"/>
          <w:i w:val="false"/>
          <w:iCs w:val="false"/>
          <w:color w:val="000000"/>
          <w:sz w:val="18"/>
          <w:szCs w:val="18"/>
        </w:rPr>
        <w:t xml:space="preserve">⚠ Neither the Jones/Miller catch-up interest ($2,276.30, Aug) nor the Investor 7 catch-up interest ($50,562.50, Dec) appears in this table — both are balance-sheet events, not new P&amp;L expense in the month paid. Jul–Dec 2026 corrected total, P&amp;L basis only: $26,903.94.</w:t>
      </w:r>
    </w:p>
    <w:p>
      <w:pPr>
        <w:pStyle w:val="Heading1"/>
        <w:spacing w:after="120" w:before="320"/>
      </w:pPr>
      <w:r>
        <w:rPr>
          <w:rFonts w:ascii="Arial" w:cs="Arial" w:eastAsia="Arial" w:hAnsi="Arial"/>
          <w:b/>
          <w:bCs/>
          <w:color w:val="1F4E79"/>
          <w:sz w:val="26"/>
          <w:szCs w:val="26"/>
        </w:rPr>
        <w:t xml:space="preserve">4b. Restaurant Pulse Budget Reconciliation — finding</w:t>
      </w:r>
    </w:p>
    <w:p>
      <w:pPr>
        <w:spacing w:after="160"/>
      </w:pPr>
      <w:r>
        <w:rPr>
          <w:rFonts w:ascii="Arial" w:cs="Arial" w:eastAsia="Arial" w:hAnsi="Arial"/>
          <w:b w:val="false"/>
          <w:bCs w:val="false"/>
          <w:i w:val="false"/>
          <w:iCs w:val="false"/>
          <w:color w:val="000000"/>
          <w:sz w:val="20"/>
          <w:szCs w:val="20"/>
        </w:rPr>
        <w:t xml:space="preserve">Restaurant Pulse's own budget_targets for account 7020 (Loan Interest), Jul–Dec 2026, were checked against the corrected P&amp;L-only figures in Section 4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Month</w:t>
            </w:r>
          </w:p>
        </w:tc>
        <w:tc>
          <w:tcPr>
            <w:tcW w:type="dxa" w:w="19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Currently Budgeted</w:t>
            </w:r>
          </w:p>
        </w:tc>
        <w:tc>
          <w:tcPr>
            <w:tcW w:type="dxa" w:w="19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Correct (P&amp;L only)</w:t>
            </w:r>
          </w:p>
        </w:tc>
        <w:tc>
          <w:tcPr>
            <w:tcW w:type="dxa" w:w="19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Difference</w:t>
            </w:r>
          </w:p>
        </w:tc>
        <w:tc>
          <w:tcPr>
            <w:tcW w:type="dxa" w:w="19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Likely cause</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Jul</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$3,104.17</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$3,104.17</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E7A34"/>
                <w:sz w:val="18"/>
                <w:szCs w:val="18"/>
              </w:rPr>
              <w:t xml:space="preserve">$0.00</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Aug</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$6,400.00</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$4,143.03</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C0392B"/>
                <w:sz w:val="18"/>
                <w:szCs w:val="18"/>
              </w:rPr>
              <w:t xml:space="preserve">+$2,256.97</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Appears to include most of the J&amp;M catch-up</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Sep</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$4,090.00</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$4,109.47</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C0392B"/>
                <w:sz w:val="18"/>
                <w:szCs w:val="18"/>
              </w:rPr>
              <w:t xml:space="preserve">−$19.47</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Minor rounding</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Oct</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$3,960.00</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$3,974.17</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C0392B"/>
                <w:sz w:val="18"/>
                <w:szCs w:val="18"/>
              </w:rPr>
              <w:t xml:space="preserve">−$14.17</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Minor rounding</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Nov</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$4,030.00</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$4,041.25</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C0392B"/>
                <w:sz w:val="18"/>
                <w:szCs w:val="18"/>
              </w:rPr>
              <w:t xml:space="preserve">−$11.25</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Minor rounding</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Dec</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$58,080.00</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$7,531.85</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C0392B"/>
                <w:sz w:val="18"/>
                <w:szCs w:val="18"/>
              </w:rPr>
              <w:t xml:space="preserve">+$50,548.15</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Investor 7 catch-up ($50,562.50) included almost exactly</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TOTAL</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$79,664.17</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$26,903.94</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+$52,760.23</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BFBFB" w:val="clear"/>
            <w:tcMar>
              <w:top w:type="dxa" w:w="160"/>
              <w:left w:type="dxa" w:w="220"/>
              <w:bottom w:type="dxa" w:w="160"/>
              <w:right w:type="dxa" w:w="220"/>
            </w:tcMar>
          </w:tcPr>
          <w:p>
            <w:pPr>
              <w:spacing w:after="80"/>
            </w:pPr>
            <w:r>
              <w:rPr>
                <w:rFonts w:ascii="Arial" w:cs="Arial" w:eastAsia="Arial" w:hAnsi="Arial"/>
                <w:b/>
                <w:bCs/>
                <w:color w:val="C0392B"/>
                <w:sz w:val="20"/>
                <w:szCs w:val="20"/>
              </w:rPr>
              <w:t xml:space="preserve">Root cause: the current budget looks like it was populated with cash debt-service totals, not P&amp;L interest</w:t>
            </w:r>
          </w:p>
          <w:p>
            <w:pPr>
              <w:spacing w:after="60"/>
            </w:pPr>
            <w:r>
              <w:rPr>
                <w:rFonts w:ascii="Arial" w:cs="Arial" w:eastAsia="Arial" w:hAnsi="Arial"/>
                <w:sz w:val="19"/>
                <w:szCs w:val="19"/>
              </w:rPr>
              <w:t xml:space="preserve">The currently-budgeted Jul–Dec total ($79,664.17) is within $78.57 of the full real CASH interest obligation for the same period ($79,742.74 = $26,903.94 P&amp;L interest + $2,276.30 Jones/Miller catch-up + $50,562.50 Investor 7 catch-up).</w:t>
            </w:r>
          </w:p>
          <w:p>
            <w:pPr>
              <w:spacing w:after="60"/>
            </w:pPr>
            <w:r>
              <w:rPr>
                <w:rFonts w:ascii="Arial" w:cs="Arial" w:eastAsia="Arial" w:hAnsi="Arial"/>
                <w:sz w:val="19"/>
                <w:szCs w:val="19"/>
              </w:rPr>
              <w:t xml:space="preserve">That's consistent with someone entering the Cash Flow view's debt-service numbers (which correctly include catch-up as a cash event) into the P&amp;L budget account (which should not).</w:t>
            </w:r>
          </w:p>
          <w:p>
            <w:pPr>
              <w:spacing w:after="60"/>
            </w:pPr>
            <w:r>
              <w:rPr>
                <w:rFonts w:ascii="Arial" w:cs="Arial" w:eastAsia="Arial" w:hAnsi="Arial"/>
                <w:sz w:val="19"/>
                <w:szCs w:val="19"/>
              </w:rPr>
              <w:t xml:space="preserve">Net effect: account 7020's Aug and Dec 2026 budget overstates true P&amp;L Loan Interest expense by roughly $52,760 for the year, which will make actual results look artificially better against budget once real Aug/Dec actuals post — and skews the Budget tab's Loan Interest pace/overspending read for those two months.</w:t>
            </w:r>
          </w:p>
          <w:p>
            <w:pPr>
              <w:spacing w:after="60"/>
            </w:pPr>
            <w:r>
              <w:rPr>
                <w:rFonts w:ascii="Arial" w:cs="Arial" w:eastAsia="Arial" w:hAnsi="Arial"/>
                <w:sz w:val="19"/>
                <w:szCs w:val="19"/>
              </w:rPr>
              <w:t xml:space="preserve">Recommended fix: update budget_targets for account 7020 to the “Correct (P&amp;L only)” column above. The catch-up amounts belong on the Cash Flow tab (already sourced from loan_schedule, unaffected by this issue) — not on the P&amp;L budget.</w:t>
            </w:r>
          </w:p>
        </w:tc>
      </w:tr>
    </w:tbl>
    <w:p>
      <w:pPr>
        <w:pStyle w:val="Heading1"/>
        <w:spacing w:after="120" w:before="320"/>
      </w:pPr>
      <w:r>
        <w:rPr>
          <w:rFonts w:ascii="Arial" w:cs="Arial" w:eastAsia="Arial" w:hAnsi="Arial"/>
          <w:b/>
          <w:bCs/>
          <w:color w:val="1F4E79"/>
          <w:sz w:val="26"/>
          <w:szCs w:val="26"/>
        </w:rPr>
        <w:t xml:space="preserve">5. Steady-State Monthly Debt Service (Jan 2027 onward,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Payees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Payment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Interest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Principal</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12th</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SBA – Eastern Bank</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$6,161.18</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~$3,090 (Jan; declines through the year)</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~$3,071 (Jan)</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15th</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Jones &amp; Miller</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$5,500.62</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~$882 (Jan; declines through the year)</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~$4,618 (Jan)</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20th</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Chen, Savage, Schaefer, Gilreath, Mis, Price, Reid</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$11,130.98</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~$3,576 (Jan; declines through the year)</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~$7,555 (Jan)</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MONTHLY TOTAL (Jan 2027)</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All 10 loans</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$22,792.78</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~$7,548</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~$15,245</w:t>
            </w:r>
          </w:p>
        </w:tc>
      </w:tr>
    </w:tbl>
    <w:p>
      <w:pPr>
        <w:spacing w:after="160"/>
      </w:pPr>
      <w:r>
        <w:rPr>
          <w:rFonts w:ascii="Arial" w:cs="Arial" w:eastAsia="Arial" w:hAnsi="Arial"/>
          <w:b w:val="false"/>
          <w:bCs w:val="false"/>
          <w:i/>
          <w:iCs/>
          <w:color w:val="000000"/>
          <w:sz w:val="18"/>
          <w:szCs w:val="18"/>
        </w:rPr>
        <w:t xml:space="preserve">Every one of the three loan groups amortizes on a standard declining-balance schedule, so the interest/principal split above shifts every month even though the total payment stays fixed — the Jan 2027 row is representative of the start of the year, not a flat monthly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24"/>
              <w:bottom w:val="single" w:color="1F4E79" w:sz="4"/>
              <w:right w:val="single" w:color="1F4E79" w:sz="4"/>
            </w:tcBorders>
            <w:shd w:fill="FBFBFB" w:val="clear"/>
            <w:tcMar>
              <w:top w:type="dxa" w:w="160"/>
              <w:left w:type="dxa" w:w="220"/>
              <w:bottom w:type="dxa" w:w="160"/>
              <w:right w:type="dxa" w:w="220"/>
            </w:tcMar>
          </w:tcPr>
          <w:p>
            <w:pPr>
              <w:spacing w:after="80"/>
            </w:pPr>
            <w:r>
              <w:rPr>
                <w:rFonts w:ascii="Arial" w:cs="Arial" w:eastAsia="Arial" w:hAnsi="Arial"/>
                <w:b/>
                <w:bCs/>
                <w:color w:val="1F4E79"/>
                <w:sz w:val="20"/>
                <w:szCs w:val="20"/>
              </w:rPr>
              <w:t xml:space="preserve">Full calendar-year 2027 totals (all 10 loans, corrected) — the figures for annual cash-flow / profit-vs-principal planning</w:t>
            </w:r>
          </w:p>
          <w:p>
            <w:pPr>
              <w:spacing w:after="60"/>
            </w:pPr>
            <w:r>
              <w:rPr>
                <w:rFonts w:ascii="Arial" w:cs="Arial" w:eastAsia="Arial" w:hAnsi="Arial"/>
                <w:sz w:val="19"/>
                <w:szCs w:val="19"/>
              </w:rPr>
              <w:t xml:space="preserve">Total interest, calendar year 2027: $84,222.83  (SBA $35,052.68 + Investor 7 $39,564.63 + Jones &amp; Miller $9,605.52 corrected — the payment correction actually makes this $3.62 LOWER than the xlsx's uncorrected $9,609.14, since the higher $2,750.31 payment pays down principal slightly faster; the correction's real significance is in Section 4b's budget finding, not the annual interest total)</w:t>
            </w:r>
          </w:p>
          <w:p>
            <w:pPr>
              <w:spacing w:after="60"/>
            </w:pPr>
            <w:r>
              <w:rPr>
                <w:rFonts w:ascii="Arial" w:cs="Arial" w:eastAsia="Arial" w:hAnsi="Arial"/>
                <w:sz w:val="19"/>
                <w:szCs w:val="19"/>
              </w:rPr>
              <w:t xml:space="preserve">Total principal, calendar year 2027: $189,290.53</w:t>
            </w:r>
          </w:p>
          <w:p>
            <w:pPr>
              <w:spacing w:after="60"/>
            </w:pPr>
            <w:r>
              <w:rPr>
                <w:rFonts w:ascii="Arial" w:cs="Arial" w:eastAsia="Arial" w:hAnsi="Arial"/>
                <w:sz w:val="19"/>
                <w:szCs w:val="19"/>
              </w:rPr>
              <w:t xml:space="preserve">Total debt service (P + I), calendar year 2027: $273,513.36  (up $105.60 from the brief's original $273,407.76 — the full-year effect of the $4.40/month/loan Jones &amp; Miller correction)</w:t>
            </w:r>
          </w:p>
          <w:p>
            <w:pPr>
              <w:spacing w:after="60"/>
            </w:pPr>
            <w:r>
              <w:rPr>
                <w:rFonts w:ascii="Arial" w:cs="Arial" w:eastAsia="Arial" w:hAnsi="Arial"/>
                <w:sz w:val="19"/>
                <w:szCs w:val="19"/>
              </w:rPr>
              <w:t xml:space="preserve">Approximate split: 31% interest, 69% principal.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24"/>
              <w:bottom w:val="single" w:color="1F4E79" w:sz="4"/>
              <w:right w:val="single" w:color="1F4E79" w:sz="4"/>
            </w:tcBorders>
            <w:shd w:fill="FBFBFB" w:val="clear"/>
            <w:tcMar>
              <w:top w:type="dxa" w:w="160"/>
              <w:left w:type="dxa" w:w="220"/>
              <w:bottom w:type="dxa" w:w="160"/>
              <w:right w:type="dxa" w:w="220"/>
            </w:tcMar>
          </w:tcPr>
          <w:p>
            <w:pPr>
              <w:spacing w:after="80"/>
            </w:pPr>
            <w:r>
              <w:rPr>
                <w:rFonts w:ascii="Arial" w:cs="Arial" w:eastAsia="Arial" w:hAnsi="Arial"/>
                <w:b/>
                <w:bCs/>
                <w:color w:val="1F4E79"/>
                <w:sz w:val="20"/>
                <w:szCs w:val="20"/>
              </w:rPr>
              <w:t xml:space="preserve">2026 (Jul–Dec) real cash interest obligation — for reference against the P&amp;L-only $26,903.94 in Section 4</w:t>
            </w:r>
          </w:p>
          <w:p>
            <w:pPr>
              <w:spacing w:after="60"/>
            </w:pPr>
            <w:r>
              <w:rPr>
                <w:rFonts w:ascii="Arial" w:cs="Arial" w:eastAsia="Arial" w:hAnsi="Arial"/>
                <w:sz w:val="19"/>
                <w:szCs w:val="19"/>
              </w:rPr>
              <w:t xml:space="preserve">P&amp;L-recognized interest (account 7020, Jul–Dec): $26,903.94</w:t>
            </w:r>
          </w:p>
          <w:p>
            <w:pPr>
              <w:spacing w:after="60"/>
            </w:pPr>
            <w:r>
              <w:rPr>
                <w:rFonts w:ascii="Arial" w:cs="Arial" w:eastAsia="Arial" w:hAnsi="Arial"/>
                <w:sz w:val="19"/>
                <w:szCs w:val="19"/>
              </w:rPr>
              <w:t xml:space="preserve">+ Jones/Miller catch-up interest (Aug 15, balance-sheet event): $2,276.30</w:t>
            </w:r>
          </w:p>
          <w:p>
            <w:pPr>
              <w:spacing w:after="60"/>
            </w:pPr>
            <w:r>
              <w:rPr>
                <w:rFonts w:ascii="Arial" w:cs="Arial" w:eastAsia="Arial" w:hAnsi="Arial"/>
                <w:sz w:val="19"/>
                <w:szCs w:val="19"/>
              </w:rPr>
              <w:t xml:space="preserve">+ Investor 7 catch-up interest (Dec 20, balance-sheet event): $50,562.50</w:t>
            </w:r>
          </w:p>
          <w:p>
            <w:pPr>
              <w:spacing w:after="60"/>
            </w:pPr>
            <w:r>
              <w:rPr>
                <w:rFonts w:ascii="Arial" w:cs="Arial" w:eastAsia="Arial" w:hAnsi="Arial"/>
                <w:sz w:val="19"/>
                <w:szCs w:val="19"/>
              </w:rPr>
              <w:t xml:space="preserve">= Total real cash interest obligation, Jul–Dec 2026: $79,742.74</w:t>
            </w:r>
          </w:p>
        </w:tc>
      </w:tr>
    </w:tbl>
    <w:p>
      <w:pPr>
        <w:pStyle w:val="Heading1"/>
        <w:spacing w:after="120" w:before="320"/>
      </w:pPr>
      <w:r>
        <w:rPr>
          <w:rFonts w:ascii="Arial" w:cs="Arial" w:eastAsia="Arial" w:hAnsi="Arial"/>
          <w:b/>
          <w:bCs/>
          <w:color w:val="1F4E79"/>
          <w:sz w:val="26"/>
          <w:szCs w:val="26"/>
        </w:rPr>
        <w:t xml:space="preserve">6. Loan Reserve Savings Plan (Catch-Up Funding)</w:t>
      </w:r>
    </w:p>
    <w:p>
      <w:pPr>
        <w:spacing w:after="160"/>
      </w:pPr>
      <w:r>
        <w:rPr>
          <w:rFonts w:ascii="Arial" w:cs="Arial" w:eastAsia="Arial" w:hAnsi="Arial"/>
          <w:b w:val="false"/>
          <w:bCs w:val="false"/>
          <w:i w:val="false"/>
          <w:iCs w:val="false"/>
          <w:color w:val="000000"/>
          <w:sz w:val="20"/>
          <w:szCs w:val="20"/>
        </w:rPr>
        <w:t xml:space="preserve">A dedicated savings account (QBO: 1005 Loan Payment Reserve) funds the December 20 catch-up. The plan below is the ORIGINAL assumption from July 2026 and is retained here for historical context only — see the note beneath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Transfer amount (original plan)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$2,200/week</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Start date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Jul 13, 2026</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Transfer day</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Every Monday</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End date (original plan)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Dec 14, 2026</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Number of transfers (original plan)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23 Mondays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Total saved (original plan)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$50,600.00</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Target (catch-up only)</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$50,562.50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Buffer (original plan)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$37.50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BFBFB" w:val="clear"/>
            <w:tcMar>
              <w:top w:type="dxa" w:w="160"/>
              <w:left w:type="dxa" w:w="220"/>
              <w:bottom w:type="dxa" w:w="160"/>
              <w:right w:type="dxa" w:w="220"/>
            </w:tcMar>
          </w:tcPr>
          <w:p>
            <w:pPr>
              <w:spacing w:after="80"/>
            </w:pPr>
            <w:r>
              <w:rPr>
                <w:rFonts w:ascii="Arial" w:cs="Arial" w:eastAsia="Arial" w:hAnsi="Arial"/>
                <w:b/>
                <w:bCs/>
                <w:color w:val="C0392B"/>
                <w:sz w:val="20"/>
                <w:szCs w:val="20"/>
              </w:rPr>
              <w:t xml:space="preserve">This plan is now tracked as real data in the app, not a fixed assumption — do not rely on the table above</w:t>
            </w:r>
          </w:p>
          <w:p>
            <w:pPr>
              <w:spacing w:after="60"/>
            </w:pPr>
            <w:r>
              <w:rPr>
                <w:rFonts w:ascii="Arial" w:cs="Arial" w:eastAsia="Arial" w:hAnsi="Arial"/>
                <w:sz w:val="19"/>
                <w:szCs w:val="19"/>
              </w:rPr>
              <w:t xml:space="preserve">The actual weekly amount and schedule have already diverged from this plan: the Jul 13 and Jul 20 transfers were both reversed (cash was needed for bills), and the rate changed to $2,500/week starting Jul 27, then was later re-declared at $4,000/week to also cover Jones &amp; Miller's ongoing monthly payments out of the same account.</w:t>
            </w:r>
          </w:p>
          <w:p>
            <w:pPr>
              <w:spacing w:after="60"/>
            </w:pPr>
            <w:r>
              <w:rPr>
                <w:rFonts w:ascii="Arial" w:cs="Arial" w:eastAsia="Arial" w:hAnsi="Arial"/>
                <w:sz w:val="19"/>
                <w:szCs w:val="19"/>
              </w:rPr>
              <w:t xml:space="preserve">Restaurant Pulse's Cash Flow tab (/cashflow) now records every real transfer and reversal, plus the currently-declared weekly plan, and runs a real running-balance simulation through the Dec 20 catch-up date — that is the current source of truth, not this section.</w:t>
            </w:r>
          </w:p>
          <w:p>
            <w:pPr>
              <w:spacing w:after="60"/>
            </w:pPr>
            <w:r>
              <w:rPr>
                <w:rFonts w:ascii="Arial" w:cs="Arial" w:eastAsia="Arial" w:hAnsi="Arial"/>
                <w:sz w:val="19"/>
                <w:szCs w:val="19"/>
              </w:rPr>
              <w:t xml:space="preserve">Check /cashflow directly for today's actual saved-to-date figure and whether the reserve is on pace.</w:t>
            </w:r>
          </w:p>
        </w:tc>
      </w:tr>
    </w:tbl>
    <w:p>
      <w:pPr>
        <w:pStyle w:val="Heading1"/>
        <w:spacing w:after="120" w:before="320"/>
      </w:pPr>
      <w:r>
        <w:rPr>
          <w:rFonts w:ascii="Arial" w:cs="Arial" w:eastAsia="Arial" w:hAnsi="Arial"/>
          <w:b/>
          <w:bCs/>
          <w:color w:val="1F4E79"/>
          <w:sz w:val="26"/>
          <w:szCs w:val="26"/>
        </w:rPr>
        <w:t xml:space="preserve">7. Restaurant Pulse App — Architecture Guidance (historical — already implemented)</w:t>
      </w:r>
    </w:p>
    <w:p>
      <w:pPr>
        <w:spacing w:after="160"/>
      </w:pPr>
      <w:r>
        <w:rPr>
          <w:rFonts w:ascii="Arial" w:cs="Arial" w:eastAsia="Arial" w:hAnsi="Arial"/>
          <w:b w:val="false"/>
          <w:bCs w:val="false"/>
          <w:i w:val="false"/>
          <w:iCs w:val="false"/>
          <w:color w:val="000000"/>
          <w:sz w:val="20"/>
          <w:szCs w:val="20"/>
        </w:rPr>
        <w:t xml:space="preserve">This section is retained from the original brief for context. Everything it proposed has since been built: a P&amp;L view (QBO budget/actuals, interest only) and a Cash Flow view (this document's debt service schedule + QBO), with Free Cash Flow = Net Income + Depreciation − Principal − Catch-Up Payments − Reserve Transfers, both live in the app's Cash Flow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View</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P&amp;L View</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Cash Flow View</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Data source</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QBO budget (P&amp;L based)</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Debt service schedule (this doc) + QBO</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Loan interest shown as</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Expense — account 7020 (~$7,548/mo steady state, Jan 2027)</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Expense — same as P&amp;L</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Principal shown as</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Not shown (balance sheet)</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Cash outflow — ~$15,245/mo steady state (Jan 2027)</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Catch-up shown as</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Not shown (already accrued monthly)</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One-time cash events: $2,276.30 (Aug 15, 2026) + $50,562.50 (Dec 20, 2026)</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Reserve transfers</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Not shown</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Weekly outflow, tracked live — see Section 6</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Bottom line</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Net Income</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Free Cash Flow (after all debt service)</w:t>
            </w:r>
          </w:p>
        </w:tc>
      </w:tr>
    </w:tbl>
    <w:p>
      <w:pPr>
        <w:pStyle w:val="Heading1"/>
        <w:spacing w:after="120" w:before="320"/>
      </w:pPr>
      <w:r>
        <w:rPr>
          <w:rFonts w:ascii="Arial" w:cs="Arial" w:eastAsia="Arial" w:hAnsi="Arial"/>
          <w:b/>
          <w:bCs/>
          <w:color w:val="1F4E79"/>
          <w:sz w:val="26"/>
          <w:szCs w:val="26"/>
        </w:rPr>
        <w:t xml:space="preserve">8. QBO Account Reference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30"/>
        <w:gridCol w:w="2300"/>
        <w:gridCol w:w="273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Acct</w:t>
            </w:r>
          </w:p>
        </w:tc>
        <w:tc>
          <w:tcPr>
            <w:tcW w:type="dxa" w:w="32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27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1003</w:t>
            </w:r>
          </w:p>
        </w:tc>
        <w:tc>
          <w:tcPr>
            <w:tcW w:type="dxa" w:w="32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Eastern Bank Checking</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Bank</w:t>
            </w:r>
          </w:p>
        </w:tc>
        <w:tc>
          <w:tcPr>
            <w:tcW w:type="dxa" w:w="27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Primary operating account</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1005</w:t>
            </w:r>
          </w:p>
        </w:tc>
        <w:tc>
          <w:tcPr>
            <w:tcW w:type="dxa" w:w="32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Loan Payment Reserve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Bank / Savings</w:t>
            </w:r>
          </w:p>
        </w:tc>
        <w:tc>
          <w:tcPr>
            <w:tcW w:type="dxa" w:w="27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Dedicated catch-up savings</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2330</w:t>
            </w:r>
          </w:p>
        </w:tc>
        <w:tc>
          <w:tcPr>
            <w:tcW w:type="dxa" w:w="32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Current Portion – Long-Term Notes</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Other Current Liabilities</w:t>
            </w:r>
          </w:p>
        </w:tc>
        <w:tc>
          <w:tcPr>
            <w:tcW w:type="dxa" w:w="27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Next 12 months principal ($93,394)</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2365</w:t>
            </w:r>
          </w:p>
        </w:tc>
        <w:tc>
          <w:tcPr>
            <w:tcW w:type="dxa" w:w="32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Accrued Interest Payable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Other Current Liabilities</w:t>
            </w:r>
          </w:p>
        </w:tc>
        <w:tc>
          <w:tcPr>
            <w:tcW w:type="dxa" w:w="27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Catch-up interest accumulation</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2700</w:t>
            </w:r>
          </w:p>
        </w:tc>
        <w:tc>
          <w:tcPr>
            <w:tcW w:type="dxa" w:w="32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Notes Payable – Long Term (parent)</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Long Term Liabilities</w:t>
            </w:r>
          </w:p>
        </w:tc>
        <w:tc>
          <w:tcPr>
            <w:tcW w:type="dxa" w:w="27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All 10 loans total $1,350,000</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7020</w:t>
            </w:r>
          </w:p>
        </w:tc>
        <w:tc>
          <w:tcPr>
            <w:tcW w:type="dxa" w:w="32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Loan Interest</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Expense (7000 group)</w:t>
            </w:r>
          </w:p>
        </w:tc>
        <w:tc>
          <w:tcPr>
            <w:tcW w:type="dxa" w:w="27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P&amp;L interest expense only</w:t>
            </w:r>
          </w:p>
        </w:tc>
      </w:tr>
    </w:tbl>
    <w:p>
      <w:pPr>
        <w:spacing w:after="100"/>
      </w:pPr>
      <w:r>
        <w:rPr>
          <w:rFonts w:ascii="Arial" w:cs="Arial" w:eastAsia="Arial" w:hAnsi="Arial"/>
          <w:b w:val="false"/>
          <w:bCs w:val="false"/>
          <w:i/>
          <w:iCs/>
          <w:color w:val="000000"/>
          <w:sz w:val="18"/>
          <w:szCs w:val="18"/>
        </w:rPr>
        <w:t xml:space="preserve">Note: Principal payments are NOT expenses — they reduce the Notes Payable liability accounts (2702–2755, 2740). Only the interest portion of each payment hits the P&amp;L via account 7020. The SBA loan's real QBO sub-account number is still unconfirmed — the original brief cited 2740, but 2740 is actually the investor Price loan's account per the investor workbook. Confirm directly against QBO before relying on 2740 for the SBA loan specifically.</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2026-08-11T16:29:39.801Z</dcterms:created>
  <dcterms:modified xsi:type="dcterms:W3CDTF">2026-08-11T16:29:39.801Z</dcterms:modified>
</cp:coreProperties>
</file>

<file path=docProps/custom.xml><?xml version="1.0" encoding="utf-8"?>
<Properties xmlns="http://schemas.openxmlformats.org/officeDocument/2006/custom-properties" xmlns:vt="http://schemas.openxmlformats.org/officeDocument/2006/docPropsVTypes"/>
</file>