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Halcyon</w:t>
      </w:r>
      <w:r>
        <w:t xml:space="preserve"> </w:t>
      </w:r>
      <w:r>
        <w:t xml:space="preserve">Lab:</w:t>
      </w:r>
      <w:r>
        <w:t xml:space="preserve"> </w:t>
      </w:r>
      <w:r>
        <w:t xml:space="preserve">AI-Powered</w:t>
      </w:r>
      <w:r>
        <w:t xml:space="preserve"> </w:t>
      </w:r>
      <w:r>
        <w:t xml:space="preserve">Autonomous</w:t>
      </w:r>
      <w:r>
        <w:t xml:space="preserve"> </w:t>
      </w:r>
      <w:r>
        <w:t xml:space="preserve">Equity</w:t>
      </w:r>
      <w:r>
        <w:t xml:space="preserve"> </w:t>
      </w:r>
      <w:r>
        <w:t xml:space="preserve">Trading</w:t>
      </w:r>
    </w:p>
    <w:p>
      <w:pPr>
        <w:pStyle w:val="Subtitle"/>
      </w:pPr>
      <w:r>
        <w:t xml:space="preserve">Business</w:t>
      </w:r>
      <w:r>
        <w:t xml:space="preserve"> </w:t>
      </w:r>
      <w:r>
        <w:t xml:space="preserve">Plan</w:t>
      </w:r>
      <w:r>
        <w:t xml:space="preserve"> </w:t>
      </w:r>
      <w:r>
        <w:t xml:space="preserve">&amp;</w:t>
      </w:r>
      <w:r>
        <w:t xml:space="preserve"> </w:t>
      </w:r>
      <w:r>
        <w:t xml:space="preserve">Operating</w:t>
      </w:r>
      <w:r>
        <w:t xml:space="preserve"> </w:t>
      </w:r>
      <w:r>
        <w:t xml:space="preserve">Manual</w:t>
      </w:r>
      <w:r>
        <w:t xml:space="preserve"> </w:t>
      </w:r>
      <w:r>
        <w:t xml:space="preserve">—</w:t>
      </w:r>
      <w:r>
        <w:t xml:space="preserve"> </w:t>
      </w:r>
      <w:r>
        <w:t xml:space="preserve">March</w:t>
      </w:r>
      <w:r>
        <w:t xml:space="preserve"> </w:t>
      </w:r>
      <w:r>
        <w:t xml:space="preserve">2026</w:t>
      </w:r>
    </w:p>
    <w:p>
      <w:pPr>
        <w:pStyle w:val="Author"/>
      </w:pPr>
      <w:r>
        <w:t xml:space="preserve">Ryan</w:t>
      </w:r>
      <w:r>
        <w:t xml:space="preserve"> </w:t>
      </w:r>
      <w:r>
        <w:t xml:space="preserve">Miller</w:t>
      </w:r>
      <w:r>
        <w:t xml:space="preserve"> </w:t>
      </w:r>
      <w:r>
        <w:t xml:space="preserve">|</w:t>
      </w:r>
      <w:r>
        <w:t xml:space="preserve"> </w:t>
      </w:r>
      <w:r>
        <w:t xml:space="preserve">millerrc18@github.com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Halcyon Lab is an operational AI trading system that identifies pullback-in-uptrend opportunities across S&amp;P 100 stocks, generates institutional-quality trade commentary, and executes mechanically through bracket orders. It ran its first overnight data collection on March 25, 2026, storing 48,178 options contracts, and its first market scan at 9:30 AM ET on March 26. This is not a prototype—it is 16,951 lines of production Python across 105 files, backed by 363 automated tests and 16 database tables.</w:t>
      </w:r>
    </w:p>
    <w:p>
      <w:pPr>
        <w:pStyle w:val="BodyText"/>
      </w:pPr>
      <w:r>
        <w:rPr>
          <w:bCs/>
          <w:b/>
        </w:rPr>
        <w:t xml:space="preserve">The edge</w:t>
      </w:r>
      <w:r>
        <w:t xml:space="preserve"> </w:t>
      </w:r>
      <w:r>
        <w:t xml:space="preserve">is a self-reinforcing training flywheel: every trade produces a blinded analysis, a market outcome, and a postmortem—creating proprietary training data that no competitor can purchase. The fine-tuned model (Qwen3 8B, 790 self-blinded examples, Q8_0 GGUF) improves weekly. The data asset compounds irreversibly: each week of operation widens the moat by generating outcome-verified reasoning that covers new market conditions.</w:t>
      </w:r>
    </w:p>
    <w:p>
      <w:pPr>
        <w:pStyle w:val="BodyText"/>
      </w:pPr>
      <w:r>
        <w:rPr>
          <w:bCs/>
          <w:b/>
        </w:rPr>
        <w:t xml:space="preserve">The strategy</w:t>
      </w:r>
      <w:r>
        <w:t xml:space="preserve"> </w:t>
      </w:r>
      <w:r>
        <w:t xml:space="preserve">exploits a well-documented statistical regularity: liquid large-cap stocks in structural uptrends that pull back to support recover within 2–15 days at rates exceeding 60%, with an expected Sharpe ratio of 1.0–2.0 for disciplined systematic implementations. The S&amp;P 100 universe provides $500M–$24B daily volume per name, supporting strategy capacity to $1B+ with negligible market impact.</w:t>
      </w:r>
    </w:p>
    <w:p>
      <w:pPr>
        <w:pStyle w:val="BodyText"/>
      </w:pPr>
      <w:r>
        <w:rPr>
          <w:bCs/>
          <w:b/>
        </w:rPr>
        <w:t xml:space="preserve">The numbers</w:t>
      </w:r>
      <w:r>
        <w:t xml:space="preserve">: Operating costs are $35–40/month in Phase 1, scaling to $60K–$100K/year at fund stage. Base-case projections (Sharpe 1.5) show break-even at ~$25K capital, $16,800/year net income at $100K capital, and $604K/year at $3M AUM. Fund break-even occurs at ~$2M AUM. The path from paper trading to fund manager spans 3–5 years through five sequentially gated phases, with each phase requiring demonstrated profitability before the next launches.</w:t>
      </w:r>
    </w:p>
    <w:p>
      <w:pPr>
        <w:pStyle w:val="BodyText"/>
      </w:pPr>
      <w:r>
        <w:rPr>
          <w:bCs/>
          <w:b/>
        </w:rPr>
        <w:t xml:space="preserve">Current state</w:t>
      </w:r>
      <w:r>
        <w:t xml:space="preserve">: Phase 1 active. First market scan complete. 24/7 compute scheduler running at 73% GPU utilization. Five additional trading desks architecturally scoped through Phase 6. Goal: accumulate 50 closed trades by June 2026 to validate Phase 1 gates.</w:t>
      </w:r>
    </w:p>
    <w:bookmarkEnd w:id="20"/>
    <w:bookmarkStart w:id="24" w:name="investment-thesis"/>
    <w:p>
      <w:pPr>
        <w:pStyle w:val="Heading1"/>
      </w:pPr>
      <w:r>
        <w:t xml:space="preserve">2. Investment Thesis</w:t>
      </w:r>
    </w:p>
    <w:bookmarkStart w:id="21" w:name="X96e79d417d64b51b24402bbd4ee81a8f8ad5227"/>
    <w:p>
      <w:pPr>
        <w:pStyle w:val="Heading2"/>
      </w:pPr>
      <w:r>
        <w:t xml:space="preserve">Why pullbacks in uptrending large-caps recover</w:t>
      </w:r>
    </w:p>
    <w:p>
      <w:pPr>
        <w:pStyle w:val="FirstParagraph"/>
      </w:pPr>
      <w:r>
        <w:t xml:space="preserve">The mean-reversion tendency of liquid large-cap equities is among the most robustly documented anomalies in finance. Jegadeesh (1990,</w:t>
      </w:r>
      <w:r>
        <w:t xml:space="preserve"> </w:t>
      </w:r>
      <w:r>
        <w:rPr>
          <w:iCs/>
          <w:i/>
        </w:rPr>
        <w:t xml:space="preserve">Journal of Finance</w:t>
      </w:r>
      <w:r>
        <w:t xml:space="preserve">) demonstrated that stocks exhibiting short-term price declines subsequently earn positive abnormal returns, with monthly contrarian profits averaging 2.49%. Lo and MacKinlay (1990,</w:t>
      </w:r>
      <w:r>
        <w:t xml:space="preserve"> </w:t>
      </w:r>
      <w:r>
        <w:rPr>
          <w:iCs/>
          <w:i/>
        </w:rPr>
        <w:t xml:space="preserve">Review of Financial Studies</w:t>
      </w:r>
      <w:r>
        <w:t xml:space="preserve">) showed that weekly stock returns exhibit significant positive serial correlation at the portfolio level, rejecting the random walk hypothesis for large-cap stocks. More recently, Avramov, Chordia, and Goyal (2006,</w:t>
      </w:r>
      <w:r>
        <w:t xml:space="preserve"> </w:t>
      </w:r>
      <w:r>
        <w:rPr>
          <w:iCs/>
          <w:i/>
        </w:rPr>
        <w:t xml:space="preserve">Journal of Financial Economics</w:t>
      </w:r>
      <w:r>
        <w:t xml:space="preserve">) found that mean-reversion profitability concentrates in liquid, large-cap names—precisely the S&amp;P 100 universe.</w:t>
      </w:r>
    </w:p>
    <w:p>
      <w:pPr>
        <w:pStyle w:val="BodyText"/>
      </w:pPr>
      <w:r>
        <w:t xml:space="preserve">The base rates for this strategy class are favorable. Historical analysis of S&amp;P 100 constituents from 2000–2025 shows that stocks trading above their rising 200-day moving average that pull back 3–8% to their 50-day MA recover to prior highs within 15 trading days approximately 62–68% of the time, with median recovery time of 7 days. Failed recoveries (trend breakdowns) average 12–18% further downside, creating an asymmetric payoff when combined with ATR-based stop-losses that limit drawdown to 1–2 ATR (typically 3–6%).</w:t>
      </w:r>
    </w:p>
    <w:p>
      <w:pPr>
        <w:pStyle w:val="BodyText"/>
      </w:pPr>
      <w:r>
        <w:t xml:space="preserve">The expected Sharpe ratio for systematic mean-reversion strategies in liquid equities ranges from 0.8 to 2.5 depending on implementation quality. Trading-R1 (Xiao et al., 2025, arXiv:2509.11420), the most directly comparable system, achieved a 2.72 Sharpe on individual names using a Qwen3-4B model with a similar curriculum training approach. More conservative academic benchmarks (Moskowitz, Ooi, and Pedersen, 2012,</w:t>
      </w:r>
      <w:r>
        <w:t xml:space="preserve"> </w:t>
      </w:r>
      <w:r>
        <w:rPr>
          <w:iCs/>
          <w:i/>
        </w:rPr>
        <w:t xml:space="preserve">Journal of Financial Economics</w:t>
      </w:r>
      <w:r>
        <w:t xml:space="preserve">) show time-series momentum strategies achieving Sharpe ratios of 1.0–1.5 across asset classes.</w:t>
      </w:r>
    </w:p>
    <w:bookmarkEnd w:id="21"/>
    <w:bookmarkStart w:id="22" w:name="Xfacecbebea549ad8fd02349a797b29143993bc0"/>
    <w:p>
      <w:pPr>
        <w:pStyle w:val="Heading2"/>
      </w:pPr>
      <w:r>
        <w:t xml:space="preserve">The structural advantage: AI commentary as a training flywheel</w:t>
      </w:r>
    </w:p>
    <w:p>
      <w:pPr>
        <w:pStyle w:val="FirstParagraph"/>
      </w:pPr>
      <w:r>
        <w:t xml:space="preserve">The model writes trade commentary not because the commentary affects execution—execution is fully mechanical via bracket orders—but because the commentary IS the training data. Each scan produces a blinded analysis reflecting the model’s genuine pre-trade reasoning. When the trade closes, the outcome labels the analysis as a win, loss, or timeout. The labeled example enters the training pipeline. The model improves. The next scan produces better analysis. This is the flywheel.</w:t>
      </w:r>
    </w:p>
    <w:p>
      <w:pPr>
        <w:pStyle w:val="BodyText"/>
      </w:pPr>
      <w:r>
        <w:t xml:space="preserve">What makes this flywheel defensible is the self-blinding architecture. Research by Christian and Mazor (2026) demonstrated that LLMs suffer from</w:t>
      </w:r>
      <w:r>
        <w:t xml:space="preserve"> </w:t>
      </w:r>
      <w:r>
        <w:t xml:space="preserve">“</w:t>
      </w:r>
      <w:r>
        <w:t xml:space="preserve">hypothetical inconsistency</w:t>
      </w:r>
      <w:r>
        <w:t xml:space="preserve">”</w:t>
      </w:r>
      <w:r>
        <w:t xml:space="preserve">—they cannot reliably simulate counterfactual knowledge states when told to ignore outcome information. Halcyon Lab solves this architecturally: the model never receives outcome data during analysis generation. The resulting training examples are genuinely uncontaminated, a property verified by a TF-IDF leakage classifier that must fail to distinguish winning from losing analyses at rates above 55%.</w:t>
      </w:r>
    </w:p>
    <w:bookmarkEnd w:id="22"/>
    <w:bookmarkStart w:id="23" w:name="why-sp-100-specifically"/>
    <w:p>
      <w:pPr>
        <w:pStyle w:val="Heading2"/>
      </w:pPr>
      <w:r>
        <w:t xml:space="preserve">Why S&amp;P 100 specifically</w:t>
      </w:r>
    </w:p>
    <w:p>
      <w:pPr>
        <w:pStyle w:val="FirstParagraph"/>
      </w:pPr>
      <w:r>
        <w:t xml:space="preserve">The universe choice is strategic across four dimensions.</w:t>
      </w:r>
      <w:r>
        <w:t xml:space="preserve"> </w:t>
      </w:r>
      <w:r>
        <w:rPr>
          <w:bCs/>
          <w:b/>
        </w:rPr>
        <w:t xml:space="preserve">Liquidity</w:t>
      </w:r>
      <w:r>
        <w:t xml:space="preserve">: S&amp;P 100 names trade $500M–$24B daily, enabling positions up to $10M with &lt;0.2% of daily volume—invisible market impact through $500M AUM.</w:t>
      </w:r>
      <w:r>
        <w:t xml:space="preserve"> </w:t>
      </w:r>
      <w:r>
        <w:rPr>
          <w:bCs/>
          <w:b/>
        </w:rPr>
        <w:t xml:space="preserve">Data richness</w:t>
      </w:r>
      <w:r>
        <w:t xml:space="preserve">: every name has extensive analyst coverage, options chains, institutional ownership data, and earnings history, producing information-dense training examples.</w:t>
      </w:r>
      <w:r>
        <w:t xml:space="preserve"> </w:t>
      </w:r>
      <w:r>
        <w:rPr>
          <w:bCs/>
          <w:b/>
        </w:rPr>
        <w:t xml:space="preserve">Blowup protection</w:t>
      </w:r>
      <w:r>
        <w:t xml:space="preserve">: these are the world’s largest, most scrutinized companies—sudden zero-events (fraud, delisting) are effectively impossible, bounding tail risk.</w:t>
      </w:r>
      <w:r>
        <w:t xml:space="preserve"> </w:t>
      </w:r>
      <w:r>
        <w:rPr>
          <w:bCs/>
          <w:b/>
        </w:rPr>
        <w:t xml:space="preserve">Capacity</w:t>
      </w:r>
      <w:r>
        <w:t xml:space="preserve">: the strategy scales to $1B+ before market impact becomes material, providing a compelling narrative for institutional allocators and eliminating the common emerging manager objection of strategy capacity limits.</w:t>
      </w:r>
    </w:p>
    <w:bookmarkEnd w:id="23"/>
    <w:bookmarkEnd w:id="24"/>
    <w:bookmarkStart w:id="28" w:name="technology-infrastructure"/>
    <w:p>
      <w:pPr>
        <w:pStyle w:val="Heading1"/>
      </w:pPr>
      <w:r>
        <w:t xml:space="preserve">3. Technology &amp; Infrastructure</w:t>
      </w:r>
    </w:p>
    <w:bookmarkStart w:id="25" w:name="the-system-that-compounds"/>
    <w:p>
      <w:pPr>
        <w:pStyle w:val="Heading2"/>
      </w:pPr>
      <w:r>
        <w:t xml:space="preserve">The system that compounds</w:t>
      </w:r>
    </w:p>
    <w:p>
      <w:pPr>
        <w:pStyle w:val="FirstParagraph"/>
      </w:pPr>
      <w:r>
        <w:t xml:space="preserve">Halcyon Lab is not a model or a strategy—it is a system designed to improve with use. The architecture has four interlocking layers:</w:t>
      </w:r>
    </w:p>
    <w:p>
      <w:pPr>
        <w:pStyle w:val="BodyText"/>
      </w:pPr>
      <w:r>
        <w:rPr>
          <w:bCs/>
          <w:b/>
        </w:rPr>
        <w:t xml:space="preserve">Layer 1 — Data Collection</w:t>
      </w:r>
      <w:r>
        <w:t xml:space="preserve"> </w:t>
      </w:r>
      <w:r>
        <w:t xml:space="preserve">(7 sources, overnight pipeline): Options chains (48,178 contracts/night across full S&amp;P 100), options metrics (IV rank, put/call ratios, IV skew, unusual activity), VIX term structure (VIX, VIX9D, VIX3M, VIX1Y with contango/backwardation classification), CBOE ratios (equity, index, total put/call), FRED macro (19 series covering rates, inflation, labor, credit, commodity, and financial conditions), Google Trends (retail attention signal), and earnings calendar with proximity flags. Total: ~50,000 data points per night.</w:t>
      </w:r>
    </w:p>
    <w:p>
      <w:pPr>
        <w:pStyle w:val="BodyText"/>
      </w:pPr>
      <w:r>
        <w:rPr>
          <w:bCs/>
          <w:b/>
        </w:rPr>
        <w:t xml:space="preserve">Layer 2 — Analysis Engine</w:t>
      </w:r>
      <w:r>
        <w:t xml:space="preserve">: Feature Engine computes 30+ technical and fundamental features per stock (trend direction, relative strength, pullback depth, ATR, sector correlation, earnings proximity). Deterministic Ranker scores each candidate 0–100 and qualifies those above threshold. LLM Packet Writer (halcyon-v1 via Ollama) generates institutional-quality trade commentary for qualified candidates.</w:t>
      </w:r>
    </w:p>
    <w:p>
      <w:pPr>
        <w:pStyle w:val="BodyText"/>
      </w:pPr>
      <w:r>
        <w:rPr>
          <w:bCs/>
          <w:b/>
        </w:rPr>
        <w:t xml:space="preserve">Layer 3 — Execution</w:t>
      </w:r>
      <w:r>
        <w:t xml:space="preserve">: Shadow Trading module submits bracket orders to Alpaca Markets (paper account, $100K). Every trade carries a stop-loss (1–2 ATR below entry), profit target (2–3 ATR above entry), and 15-day timeout. Exits are fully mechanical—no discretionary overrides. Email and Telegram notifications fire on trade opens, closes, earnings warnings, and system events.</w:t>
      </w:r>
    </w:p>
    <w:p>
      <w:pPr>
        <w:pStyle w:val="BodyText"/>
      </w:pPr>
      <w:r>
        <w:rPr>
          <w:bCs/>
          <w:b/>
        </w:rPr>
        <w:t xml:space="preserve">Layer 4 — Training Flywheel</w:t>
      </w:r>
      <w:r>
        <w:t xml:space="preserve">: Closed trades trigger the self-blinding pipeline. Claude API (Haiku) generates quality scores on a 6-dimension rubric. Scored examples accumulate in SQLite. When 50+ new examples are available, the system triggers a fine-tuning cycle via PEFT + TRL 0.24 + BitsAndBytes (QLoRA, 4-bit quantization). New model weights are exported to Q8_0 GGUF, registered in Ollama, and evaluated via champion-challenger framework. If the new model’s expectancy drops &gt;20% versus the incumbent, automatic rollback occurs.</w:t>
      </w:r>
    </w:p>
    <w:bookmarkEnd w:id="25"/>
    <w:bookmarkStart w:id="26" w:name="why-local-first-matters"/>
    <w:p>
      <w:pPr>
        <w:pStyle w:val="Heading2"/>
      </w:pPr>
      <w:r>
        <w:t xml:space="preserve">Why local-first matters</w:t>
      </w:r>
    </w:p>
    <w:p>
      <w:pPr>
        <w:pStyle w:val="FirstParagraph"/>
      </w:pPr>
      <w:r>
        <w:t xml:space="preserve">The entire inference stack runs on a single machine (RTX 3060 12GB, 32GB RAM, Windows). This is a deliberate architectural choice:</w:t>
      </w:r>
    </w:p>
    <w:p>
      <w:pPr>
        <w:numPr>
          <w:ilvl w:val="0"/>
          <w:numId w:val="1001"/>
        </w:numPr>
        <w:pStyle w:val="Compact"/>
      </w:pPr>
      <w:r>
        <w:rPr>
          <w:bCs/>
          <w:b/>
        </w:rPr>
        <w:t xml:space="preserve">Zero API latency</w:t>
      </w:r>
      <w:r>
        <w:t xml:space="preserve">: Local Ollama inference takes 10–15 seconds per packet. Cloud API calls add 2–5 seconds of network latency per call, compounding across 13 daily scans × 5–10 candidates per scan.</w:t>
      </w:r>
    </w:p>
    <w:p>
      <w:pPr>
        <w:numPr>
          <w:ilvl w:val="0"/>
          <w:numId w:val="1001"/>
        </w:numPr>
        <w:pStyle w:val="Compact"/>
      </w:pPr>
      <w:r>
        <w:rPr>
          <w:bCs/>
          <w:b/>
        </w:rPr>
        <w:t xml:space="preserve">Cost</w:t>
      </w:r>
      <w:r>
        <w:t xml:space="preserve">: Local inference costs electricity (~$5/month). Equivalent cloud inference at current API pricing would cost $300–500/month.</w:t>
      </w:r>
    </w:p>
    <w:p>
      <w:pPr>
        <w:numPr>
          <w:ilvl w:val="0"/>
          <w:numId w:val="1001"/>
        </w:numPr>
        <w:pStyle w:val="Compact"/>
      </w:pPr>
      <w:r>
        <w:rPr>
          <w:bCs/>
          <w:b/>
        </w:rPr>
        <w:t xml:space="preserve">Data sovereignty</w:t>
      </w:r>
      <w:r>
        <w:t xml:space="preserve">: All training data, model weights, and trade history remain on local storage. No third-party vendor has access to the proprietary dataset.</w:t>
      </w:r>
    </w:p>
    <w:p>
      <w:pPr>
        <w:numPr>
          <w:ilvl w:val="0"/>
          <w:numId w:val="1001"/>
        </w:numPr>
        <w:pStyle w:val="Compact"/>
      </w:pPr>
      <w:r>
        <w:rPr>
          <w:bCs/>
          <w:b/>
        </w:rPr>
        <w:t xml:space="preserve">No vendor lock-in</w:t>
      </w:r>
      <w:r>
        <w:t xml:space="preserve">: The inference layer abstracts Ollama, allowing a swap to vLLM, llama.cpp, or any GGUF-compatible runtime without changing application code.</w:t>
      </w:r>
    </w:p>
    <w:bookmarkEnd w:id="26"/>
    <w:bookmarkStart w:id="27" w:name="the-247-compute-schedule"/>
    <w:p>
      <w:pPr>
        <w:pStyle w:val="Heading2"/>
      </w:pPr>
      <w:r>
        <w:t xml:space="preserve">The 24/7 compute schedule</w:t>
      </w:r>
    </w:p>
    <w:p>
      <w:pPr>
        <w:pStyle w:val="FirstParagraph"/>
      </w:pPr>
      <w:r>
        <w:t xml:space="preserve">Most solo traders’ GPUs idle 95%+ of the time. Halcyon Lab’s compute scheduler targets 73% GPU utilization through continuous task orchestration: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Tasks</w:t>
            </w:r>
          </w:p>
        </w:tc>
        <w:tc>
          <w:tcPr/>
          <w:p>
            <w:pPr>
              <w:pStyle w:val="Compact"/>
              <w:jc w:val="left"/>
            </w:pPr>
            <w:r>
              <w:t xml:space="preserve">GPU Load</w:t>
            </w:r>
          </w:p>
        </w:tc>
      </w:tr>
      <w:tr>
        <w:tc>
          <w:tcPr/>
          <w:p>
            <w:pPr>
              <w:pStyle w:val="Compact"/>
              <w:jc w:val="left"/>
            </w:pPr>
            <w:r>
              <w:t xml:space="preserve">Market hours (9:30 AM – 4:00 PM ET)</w:t>
            </w:r>
          </w:p>
        </w:tc>
        <w:tc>
          <w:tcPr/>
          <w:p>
            <w:pPr>
              <w:pStyle w:val="Compact"/>
              <w:jc w:val="left"/>
            </w:pPr>
            <w:r>
              <w:t xml:space="preserve">13 scans/day + between-scan scoring via GuardedScorer (~420 training examples scored/day, 3-min guard band, zero VRAM overhead)</w:t>
            </w:r>
          </w:p>
        </w:tc>
        <w:tc>
          <w:tcPr/>
          <w:p>
            <w:pPr>
              <w:pStyle w:val="Compact"/>
              <w:jc w:val="left"/>
            </w:pPr>
            <w:r>
              <w:t xml:space="preserve">15–25%</w:t>
            </w:r>
          </w:p>
        </w:tc>
      </w:tr>
      <w:tr>
        <w:tc>
          <w:tcPr/>
          <w:p>
            <w:pPr>
              <w:pStyle w:val="Compact"/>
              <w:jc w:val="left"/>
            </w:pPr>
            <w:r>
              <w:t xml:space="preserve">Post-market (4:00 PM – 12:00 AM)</w:t>
            </w:r>
          </w:p>
        </w:tc>
        <w:tc>
          <w:tcPr/>
          <w:p>
            <w:pPr>
              <w:pStyle w:val="Compact"/>
              <w:jc w:val="left"/>
            </w:pPr>
            <w:r>
              <w:t xml:space="preserve">Training data scoring, DPO pair generation, model calibration</w:t>
            </w:r>
          </w:p>
        </w:tc>
        <w:tc>
          <w:tcPr/>
          <w:p>
            <w:pPr>
              <w:pStyle w:val="Compact"/>
              <w:jc w:val="left"/>
            </w:pPr>
            <w:r>
              <w:t xml:space="preserve">30–50%</w:t>
            </w:r>
          </w:p>
        </w:tc>
      </w:tr>
      <w:tr>
        <w:tc>
          <w:tcPr/>
          <w:p>
            <w:pPr>
              <w:pStyle w:val="Compact"/>
              <w:jc w:val="left"/>
            </w:pPr>
            <w:r>
              <w:t xml:space="preserve">Overnight (12:00 AM – 6:00 AM)</w:t>
            </w:r>
          </w:p>
        </w:tc>
        <w:tc>
          <w:tcPr/>
          <w:p>
            <w:pPr>
              <w:pStyle w:val="Compact"/>
              <w:jc w:val="left"/>
            </w:pPr>
            <w:r>
              <w:t xml:space="preserve">VRAM handoff to PyTorch: walk-forward backtest, DPO training, feature importance, leakage detection, rolling stats, DB maintenance, health checks</w:t>
            </w:r>
          </w:p>
        </w:tc>
        <w:tc>
          <w:tcPr/>
          <w:p>
            <w:pPr>
              <w:pStyle w:val="Compact"/>
              <w:jc w:val="left"/>
            </w:pPr>
            <w:r>
              <w:t xml:space="preserve">80–100%</w:t>
            </w:r>
          </w:p>
        </w:tc>
      </w:tr>
      <w:tr>
        <w:tc>
          <w:tcPr/>
          <w:p>
            <w:pPr>
              <w:pStyle w:val="Compact"/>
              <w:jc w:val="left"/>
            </w:pPr>
            <w:r>
              <w:t xml:space="preserve">Pre-market (6:00 AM – 9:30 AM)</w:t>
            </w:r>
          </w:p>
        </w:tc>
        <w:tc>
          <w:tcPr/>
          <w:p>
            <w:pPr>
              <w:pStyle w:val="Compact"/>
              <w:jc w:val="left"/>
            </w:pPr>
            <w:r>
              <w:t xml:space="preserve">Ollama reload, rolling features, self-blinded training gen, news scoring, candidate pre-analysis</w:t>
            </w:r>
          </w:p>
        </w:tc>
        <w:tc>
          <w:tcPr/>
          <w:p>
            <w:pPr>
              <w:pStyle w:val="Compact"/>
              <w:jc w:val="left"/>
            </w:pPr>
            <w:r>
              <w:t xml:space="preserve">20–40%</w:t>
            </w:r>
          </w:p>
        </w:tc>
      </w:tr>
      <w:tr>
        <w:tc>
          <w:tcPr/>
          <w:p>
            <w:pPr>
              <w:pStyle w:val="Compact"/>
              <w:jc w:val="left"/>
            </w:pPr>
            <w:r>
              <w:t xml:space="preserve">Saturday</w:t>
            </w:r>
          </w:p>
        </w:tc>
        <w:tc>
          <w:tcPr/>
          <w:p>
            <w:pPr>
              <w:pStyle w:val="Compact"/>
              <w:jc w:val="left"/>
            </w:pPr>
            <w:r>
              <w:t xml:space="preserve">Full weekly retrain + holdout eval + A/B champion-challenger testing</w:t>
            </w:r>
          </w:p>
        </w:tc>
        <w:tc>
          <w:tcPr/>
          <w:p>
            <w:pPr>
              <w:pStyle w:val="Compact"/>
              <w:jc w:val="left"/>
            </w:pPr>
            <w:r>
              <w:t xml:space="preserve">100% (4–8 hours)</w:t>
            </w:r>
          </w:p>
        </w:tc>
      </w:tr>
    </w:tbl>
    <w:p>
      <w:pPr>
        <w:pStyle w:val="BodyText"/>
      </w:pPr>
      <w:r>
        <w:rPr>
          <w:bCs/>
          <w:b/>
        </w:rPr>
        <w:t xml:space="preserve">The between-scan scoring insight</w:t>
      </w:r>
      <w:r>
        <w:t xml:space="preserve"> </w:t>
      </w:r>
      <w:r>
        <w:t xml:space="preserve">is the highest-leverage optimization in the schedule. During market hours, the model is already loaded in VRAM for scan inference. Between scans (every ~30 minutes), the GuardedScorer uses the idle model to score training examples from the backlog—recovering 1.6 GPU-hours/day of otherwise dead time and producing ~420 scored examples per day at zero marginal compute cost.</w:t>
      </w:r>
    </w:p>
    <w:p>
      <w:pPr>
        <w:pStyle w:val="BodyText"/>
      </w:pPr>
      <w:r>
        <w:rPr>
          <w:bCs/>
          <w:b/>
        </w:rPr>
        <w:t xml:space="preserve">Weekly output</w:t>
      </w:r>
      <w:r>
        <w:t xml:space="preserve">: ~1,450 scored examples and ~75 DPO preference pairs, compounding the training dataset continuously.</w:t>
      </w:r>
    </w:p>
    <w:bookmarkEnd w:id="27"/>
    <w:bookmarkEnd w:id="28"/>
    <w:bookmarkStart w:id="32" w:name="strategy-deep-dive"/>
    <w:p>
      <w:pPr>
        <w:pStyle w:val="Heading1"/>
      </w:pPr>
      <w:r>
        <w:t xml:space="preserve">4. Strategy Deep Dive</w:t>
      </w:r>
    </w:p>
    <w:bookmarkStart w:id="29" w:name="entry-mechanics"/>
    <w:p>
      <w:pPr>
        <w:pStyle w:val="Heading2"/>
      </w:pPr>
      <w:r>
        <w:t xml:space="preserve">Entry mechanics</w:t>
      </w:r>
    </w:p>
    <w:p>
      <w:pPr>
        <w:pStyle w:val="FirstParagraph"/>
      </w:pPr>
      <w:r>
        <w:t xml:space="preserve">The system identifies pullback-in-uptrend setups through a deterministic scoring pipeline:</w:t>
      </w:r>
    </w:p>
    <w:p>
      <w:pPr>
        <w:numPr>
          <w:ilvl w:val="0"/>
          <w:numId w:val="1002"/>
        </w:numPr>
        <w:pStyle w:val="Compact"/>
      </w:pPr>
      <w:r>
        <w:rPr>
          <w:bCs/>
          <w:b/>
        </w:rPr>
        <w:t xml:space="preserve">Trend detection</w:t>
      </w:r>
      <w:r>
        <w:t xml:space="preserve">: Price must be above the 200-day MA, with the 200-day MA slope positive. The 50-day MA must be above the 200-day MA (golden cross configuration).</w:t>
      </w:r>
    </w:p>
    <w:p>
      <w:pPr>
        <w:numPr>
          <w:ilvl w:val="0"/>
          <w:numId w:val="1002"/>
        </w:numPr>
        <w:pStyle w:val="Compact"/>
      </w:pPr>
      <w:r>
        <w:rPr>
          <w:bCs/>
          <w:b/>
        </w:rPr>
        <w:t xml:space="preserve">Relative strength</w:t>
      </w:r>
      <w:r>
        <w:t xml:space="preserve">: The stock must be outperforming the S&amp;P 500 over 20 and 60 trading days, confirming that the uptrend is genuine rather than a rising-tide-lifts-all-boats effect.</w:t>
      </w:r>
    </w:p>
    <w:p>
      <w:pPr>
        <w:numPr>
          <w:ilvl w:val="0"/>
          <w:numId w:val="1002"/>
        </w:numPr>
        <w:pStyle w:val="Compact"/>
      </w:pPr>
      <w:r>
        <w:rPr>
          <w:bCs/>
          <w:b/>
        </w:rPr>
        <w:t xml:space="preserve">Pullback identification</w:t>
      </w:r>
      <w:r>
        <w:t xml:space="preserve">: Price has declined from a recent high to within 1–2 ATR of the 50-day MA or a prior breakout level, placing it at a statistically significant support zone.</w:t>
      </w:r>
    </w:p>
    <w:p>
      <w:pPr>
        <w:numPr>
          <w:ilvl w:val="0"/>
          <w:numId w:val="1002"/>
        </w:numPr>
        <w:pStyle w:val="Compact"/>
      </w:pPr>
      <w:r>
        <w:rPr>
          <w:bCs/>
          <w:b/>
        </w:rPr>
        <w:t xml:space="preserve">Volume confirmation</w:t>
      </w:r>
      <w:r>
        <w:t xml:space="preserve">: Volume on the pullback should be below average (selling exhaustion), ideally with declining daily volume as the pullback matures.</w:t>
      </w:r>
    </w:p>
    <w:p>
      <w:pPr>
        <w:numPr>
          <w:ilvl w:val="0"/>
          <w:numId w:val="1002"/>
        </w:numPr>
        <w:pStyle w:val="Compact"/>
      </w:pPr>
      <w:r>
        <w:rPr>
          <w:bCs/>
          <w:b/>
        </w:rPr>
        <w:t xml:space="preserve">Earnings proximity</w:t>
      </w:r>
      <w:r>
        <w:t xml:space="preserve">: No earnings announcement within 5 trading days. The system maintains a forward-looking earnings calendar for every S&amp;P 100 constituent and blocks entries when binary event risk is elevated.</w:t>
      </w:r>
    </w:p>
    <w:p>
      <w:pPr>
        <w:pStyle w:val="FirstParagraph"/>
      </w:pPr>
      <w:r>
        <w:t xml:space="preserve">Each factor contributes to a composite score (0–100). Candidates scoring above the qualification threshold (70 in normal mode, 40 during bootcamp for data collection volume) proceed to LLM analysis.</w:t>
      </w:r>
    </w:p>
    <w:bookmarkEnd w:id="29"/>
    <w:bookmarkStart w:id="30" w:name="exit-mechanics"/>
    <w:p>
      <w:pPr>
        <w:pStyle w:val="Heading2"/>
      </w:pPr>
      <w:r>
        <w:t xml:space="preserve">Exit mechanics</w:t>
      </w:r>
    </w:p>
    <w:p>
      <w:pPr>
        <w:pStyle w:val="FirstParagraph"/>
      </w:pPr>
      <w:r>
        <w:t xml:space="preserve">Every trade deploys a bracket order with three exit paths, all fully mechanical:</w:t>
      </w:r>
    </w:p>
    <w:p>
      <w:pPr>
        <w:numPr>
          <w:ilvl w:val="0"/>
          <w:numId w:val="1003"/>
        </w:numPr>
        <w:pStyle w:val="Compact"/>
      </w:pPr>
      <w:r>
        <w:rPr>
          <w:bCs/>
          <w:b/>
        </w:rPr>
        <w:t xml:space="preserve">Stop-loss</w:t>
      </w:r>
      <w:r>
        <w:t xml:space="preserve">: 1–2 ATR below entry. Limits maximum loss to approximately 3–6% per position. Non-negotiable—no widening, no averaging down.</w:t>
      </w:r>
    </w:p>
    <w:p>
      <w:pPr>
        <w:numPr>
          <w:ilvl w:val="0"/>
          <w:numId w:val="1003"/>
        </w:numPr>
        <w:pStyle w:val="Compact"/>
      </w:pPr>
      <w:r>
        <w:rPr>
          <w:bCs/>
          <w:b/>
        </w:rPr>
        <w:t xml:space="preserve">Profit target</w:t>
      </w:r>
      <w:r>
        <w:t xml:space="preserve">: 2–3 ATR above entry. Creates a minimum 2:1 reward-to-risk ratio on every trade.</w:t>
      </w:r>
    </w:p>
    <w:p>
      <w:pPr>
        <w:numPr>
          <w:ilvl w:val="0"/>
          <w:numId w:val="1003"/>
        </w:numPr>
        <w:pStyle w:val="Compact"/>
      </w:pPr>
      <w:r>
        <w:rPr>
          <w:bCs/>
          <w:b/>
        </w:rPr>
        <w:t xml:space="preserve">Timeout</w:t>
      </w:r>
      <w:r>
        <w:t xml:space="preserve">: 15 calendar days. If neither stop nor target is hit, the position closes at market. This prevents capital from being trapped in sideways consolidation.</w:t>
      </w:r>
    </w:p>
    <w:p>
      <w:pPr>
        <w:pStyle w:val="FirstParagraph"/>
      </w:pPr>
      <w:r>
        <w:t xml:space="preserve">The 8-check risk governor evaluates every potential trade before entry:</w:t>
      </w:r>
    </w:p>
    <w:p>
      <w:pPr>
        <w:numPr>
          <w:ilvl w:val="0"/>
          <w:numId w:val="1004"/>
        </w:numPr>
        <w:pStyle w:val="Compact"/>
      </w:pPr>
      <w:r>
        <w:t xml:space="preserve">Maximum open positions (2 in normal mode)</w:t>
      </w:r>
    </w:p>
    <w:p>
      <w:pPr>
        <w:numPr>
          <w:ilvl w:val="0"/>
          <w:numId w:val="1004"/>
        </w:numPr>
        <w:pStyle w:val="Compact"/>
      </w:pPr>
      <w:r>
        <w:t xml:space="preserve">Sector concentration (no more than 40% in any single GICS sector)</w:t>
      </w:r>
    </w:p>
    <w:p>
      <w:pPr>
        <w:numPr>
          <w:ilvl w:val="0"/>
          <w:numId w:val="1004"/>
        </w:numPr>
        <w:pStyle w:val="Compact"/>
      </w:pPr>
      <w:r>
        <w:t xml:space="preserve">Portfolio correlation (new position must not exceed 0.70 correlation with existing positions)</w:t>
      </w:r>
    </w:p>
    <w:p>
      <w:pPr>
        <w:numPr>
          <w:ilvl w:val="0"/>
          <w:numId w:val="1004"/>
        </w:numPr>
        <w:pStyle w:val="Compact"/>
      </w:pPr>
      <w:r>
        <w:t xml:space="preserve">Position sizing (ATR-based, confidence-weighted, max 1% risk per trade)</w:t>
      </w:r>
    </w:p>
    <w:p>
      <w:pPr>
        <w:numPr>
          <w:ilvl w:val="0"/>
          <w:numId w:val="1004"/>
        </w:numPr>
        <w:pStyle w:val="Compact"/>
      </w:pPr>
      <w:r>
        <w:t xml:space="preserve">Earnings proximity (block if earnings within 5 trading days)</w:t>
      </w:r>
    </w:p>
    <w:p>
      <w:pPr>
        <w:numPr>
          <w:ilvl w:val="0"/>
          <w:numId w:val="1004"/>
        </w:numPr>
        <w:pStyle w:val="Compact"/>
      </w:pPr>
      <w:r>
        <w:t xml:space="preserve">Regime filter (adjust aggressiveness based on VIX regime: &lt;15 aggressive, 15–25 normal, 25–35 selective, &gt;35 PASS-heavy)</w:t>
      </w:r>
    </w:p>
    <w:p>
      <w:pPr>
        <w:numPr>
          <w:ilvl w:val="0"/>
          <w:numId w:val="1004"/>
        </w:numPr>
        <w:pStyle w:val="Compact"/>
      </w:pPr>
      <w:r>
        <w:t xml:space="preserve">Maximum daily loss (halt new entries if portfolio down &gt;2% intraday)</w:t>
      </w:r>
    </w:p>
    <w:p>
      <w:pPr>
        <w:numPr>
          <w:ilvl w:val="0"/>
          <w:numId w:val="1004"/>
        </w:numPr>
        <w:pStyle w:val="Compact"/>
      </w:pPr>
      <w:r>
        <w:t xml:space="preserve">Drawdown limit (halt all trading if portfolio drawdown exceeds 10%)</w:t>
      </w:r>
    </w:p>
    <w:bookmarkEnd w:id="30"/>
    <w:bookmarkStart w:id="31" w:name="why-the-model-writes-commentary"/>
    <w:p>
      <w:pPr>
        <w:pStyle w:val="Heading2"/>
      </w:pPr>
      <w:r>
        <w:t xml:space="preserve">Why the model writes commentary</w:t>
      </w:r>
    </w:p>
    <w:p>
      <w:pPr>
        <w:pStyle w:val="FirstParagraph"/>
      </w:pPr>
      <w:r>
        <w:t xml:space="preserve">The commentary IS the training data. Without it, there is no flywheel, no improving model, no compounding edge. The model’s text output captures its reasoning about why a particular setup should recover, what risks could invalidate the thesis, and how confident it is in the trade. When the outcome is known, this text becomes a labeled training example:</w:t>
      </w:r>
      <w:r>
        <w:t xml:space="preserve"> </w:t>
      </w:r>
      <w:r>
        <w:t xml:space="preserve">“</w:t>
      </w:r>
      <w:r>
        <w:t xml:space="preserve">here is what the model thought, and here is what actually happened.</w:t>
      </w:r>
      <w:r>
        <w:t xml:space="preserve">”</w:t>
      </w:r>
      <w:r>
        <w:t xml:space="preserve"> </w:t>
      </w:r>
      <w:r>
        <w:t xml:space="preserve">This is the raw material for supervised fine-tuning, DPO preference pair generation, and eventually GRPO reinforcement learning.</w:t>
      </w:r>
    </w:p>
    <w:p>
      <w:pPr>
        <w:pStyle w:val="BodyText"/>
      </w:pPr>
      <w:r>
        <w:t xml:space="preserve">The commentary also serves a compliance function: every trade has a written, timestamped rationale that can be audited for consistency, quality, and adherence to the strategy mandate.</w:t>
      </w:r>
    </w:p>
    <w:bookmarkEnd w:id="31"/>
    <w:bookmarkEnd w:id="32"/>
    <w:bookmarkStart w:id="35" w:name="multi-desk-scaling-architecture"/>
    <w:p>
      <w:pPr>
        <w:pStyle w:val="Heading1"/>
      </w:pPr>
      <w:r>
        <w:t xml:space="preserve">5. Multi-Desk Scaling Architecture</w:t>
      </w:r>
    </w:p>
    <w:bookmarkStart w:id="33" w:name="why-desks-not-strategies"/>
    <w:p>
      <w:pPr>
        <w:pStyle w:val="Heading2"/>
      </w:pPr>
      <w:r>
        <w:t xml:space="preserve">Why desks, not strategies</w:t>
      </w:r>
    </w:p>
    <w:p>
      <w:pPr>
        <w:pStyle w:val="FirstParagraph"/>
      </w:pPr>
      <w:r>
        <w:t xml:space="preserve">Each desk is an independent profit center with its own model (or LoRA adapter), risk limits, P&amp;L tracking, universe, and gate metrics. This architecture provides three critical benefits:</w:t>
      </w:r>
    </w:p>
    <w:p>
      <w:pPr>
        <w:pStyle w:val="BodyText"/>
      </w:pPr>
      <w:r>
        <w:rPr>
          <w:bCs/>
          <w:b/>
        </w:rPr>
        <w:t xml:space="preserve">Independent accountability</w:t>
      </w:r>
      <w:r>
        <w:t xml:space="preserve">: If the Options Desk loses money while the Swing Desk profits, the problem is isolated and diagnosable. Mixed-strategy systems obscure which component is contributing or detracting.</w:t>
      </w:r>
    </w:p>
    <w:p>
      <w:pPr>
        <w:pStyle w:val="BodyText"/>
      </w:pPr>
      <w:r>
        <w:rPr>
          <w:bCs/>
          <w:b/>
        </w:rPr>
        <w:t xml:space="preserve">Sequential gating</w:t>
      </w:r>
      <w:r>
        <w:t xml:space="preserve">: Each desk must be profitable before the next launches. This prevents capital and attention fragmentation—the most common failure mode for solo quant operators who try to run multiple strategies simultaneously before any single one is validated.</w:t>
      </w:r>
    </w:p>
    <w:p>
      <w:pPr>
        <w:pStyle w:val="BodyText"/>
      </w:pPr>
      <w:r>
        <w:rPr>
          <w:bCs/>
          <w:b/>
        </w:rPr>
        <w:t xml:space="preserve">Correlation benefit</w:t>
      </w:r>
      <w:r>
        <w:t xml:space="preserve">: Swing (mean-reversion) and Momentum (trend-following) are structurally uncorrelated return streams. Adding Options (volatility harvesting) creates a third uncorrelated stream. A three-desk portfolio with pairwise correlations of 0.0–0.2 can achieve portfolio Sharpe 40–60% higher than any individual desk.</w:t>
      </w:r>
    </w:p>
    <w:bookmarkEnd w:id="33"/>
    <w:bookmarkStart w:id="34" w:name="desk-specifications"/>
    <w:p>
      <w:pPr>
        <w:pStyle w:val="Heading2"/>
      </w:pPr>
      <w:r>
        <w:t xml:space="preserve">Desk specifications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Desk</w:t>
            </w:r>
          </w:p>
        </w:tc>
        <w:tc>
          <w:tcPr/>
          <w:p>
            <w:pPr>
              <w:pStyle w:val="Compact"/>
              <w:jc w:val="left"/>
            </w:pPr>
            <w:r>
              <w:t xml:space="preserve">Phase</w:t>
            </w:r>
          </w:p>
        </w:tc>
        <w:tc>
          <w:tcPr/>
          <w:p>
            <w:pPr>
              <w:pStyle w:val="Compact"/>
              <w:jc w:val="left"/>
            </w:pPr>
            <w:r>
              <w:t xml:space="preserve">Model</w:t>
            </w:r>
          </w:p>
        </w:tc>
        <w:tc>
          <w:tcPr/>
          <w:p>
            <w:pPr>
              <w:pStyle w:val="Compact"/>
              <w:jc w:val="left"/>
            </w:pPr>
            <w:r>
              <w:t xml:space="preserve">Universe</w:t>
            </w:r>
          </w:p>
        </w:tc>
        <w:tc>
          <w:tcPr/>
          <w:p>
            <w:pPr>
              <w:pStyle w:val="Compact"/>
              <w:jc w:val="left"/>
            </w:pPr>
            <w:r>
              <w:t xml:space="preserve">Timeframe</w:t>
            </w:r>
          </w:p>
        </w:tc>
        <w:tc>
          <w:tcPr/>
          <w:p>
            <w:pPr>
              <w:pStyle w:val="Compact"/>
              <w:jc w:val="left"/>
            </w:pPr>
            <w:r>
              <w:t xml:space="preserve">Strategy</w:t>
            </w:r>
          </w:p>
        </w:tc>
        <w:tc>
          <w:tcPr/>
          <w:p>
            <w:pPr>
              <w:pStyle w:val="Compact"/>
              <w:jc w:val="left"/>
            </w:pPr>
            <w:r>
              <w:t xml:space="preserve">Gate</w:t>
            </w:r>
          </w:p>
        </w:tc>
      </w:tr>
      <w:tr>
        <w:tc>
          <w:tcPr/>
          <w:p>
            <w:pPr>
              <w:pStyle w:val="Compact"/>
              <w:jc w:val="left"/>
            </w:pPr>
            <w:r>
              <w:t xml:space="preserve">Equity Swing</w:t>
            </w:r>
          </w:p>
        </w:tc>
        <w:tc>
          <w:tcPr/>
          <w:p>
            <w:pPr>
              <w:pStyle w:val="Compact"/>
              <w:jc w:val="left"/>
            </w:pPr>
            <w:r>
              <w:t xml:space="preserve">1 (ACTIVE)</w:t>
            </w:r>
          </w:p>
        </w:tc>
        <w:tc>
          <w:tcPr/>
          <w:p>
            <w:pPr>
              <w:pStyle w:val="Compact"/>
              <w:jc w:val="left"/>
            </w:pPr>
            <w:r>
              <w:t xml:space="preserve">halcyon-v1 (Qwen3 8B full fine-tune)</w:t>
            </w:r>
          </w:p>
        </w:tc>
        <w:tc>
          <w:tcPr/>
          <w:p>
            <w:pPr>
              <w:pStyle w:val="Compact"/>
              <w:jc w:val="left"/>
            </w:pPr>
            <w:r>
              <w:t xml:space="preserve">S&amp;P 100</w:t>
            </w:r>
          </w:p>
        </w:tc>
        <w:tc>
          <w:tcPr/>
          <w:p>
            <w:pPr>
              <w:pStyle w:val="Compact"/>
              <w:jc w:val="left"/>
            </w:pPr>
            <w:r>
              <w:t xml:space="preserve">2–15 days</w:t>
            </w:r>
          </w:p>
        </w:tc>
        <w:tc>
          <w:tcPr/>
          <w:p>
            <w:pPr>
              <w:pStyle w:val="Compact"/>
              <w:jc w:val="left"/>
            </w:pPr>
            <w:r>
              <w:t xml:space="preserve">Pullback-in-uptrend</w:t>
            </w:r>
          </w:p>
        </w:tc>
        <w:tc>
          <w:tcPr/>
          <w:p>
            <w:pPr>
              <w:pStyle w:val="Compact"/>
              <w:jc w:val="left"/>
            </w:pPr>
            <w:r>
              <w:t xml:space="preserve">50 trades, Sharpe &gt;0.5</w:t>
            </w:r>
          </w:p>
        </w:tc>
      </w:tr>
      <w:tr>
        <w:tc>
          <w:tcPr/>
          <w:p>
            <w:pPr>
              <w:pStyle w:val="Compact"/>
              <w:jc w:val="left"/>
            </w:pPr>
            <w:r>
              <w:t xml:space="preserve">Equity Research</w:t>
            </w:r>
          </w:p>
        </w:tc>
        <w:tc>
          <w:tcPr/>
          <w:p>
            <w:pPr>
              <w:pStyle w:val="Compact"/>
              <w:jc w:val="left"/>
            </w:pPr>
            <w:r>
              <w:t xml:space="preserve">2</w:t>
            </w:r>
          </w:p>
        </w:tc>
        <w:tc>
          <w:tcPr/>
          <w:p>
            <w:pPr>
              <w:pStyle w:val="Compact"/>
              <w:jc w:val="left"/>
            </w:pPr>
            <w:r>
              <w:t xml:space="preserve">Same model, lower threshold (score ≥30)</w:t>
            </w:r>
          </w:p>
        </w:tc>
        <w:tc>
          <w:tcPr/>
          <w:p>
            <w:pPr>
              <w:pStyle w:val="Compact"/>
              <w:jc w:val="left"/>
            </w:pPr>
            <w:r>
              <w:t xml:space="preserve">S&amp;P 100</w:t>
            </w:r>
          </w:p>
        </w:tc>
        <w:tc>
          <w:tcPr/>
          <w:p>
            <w:pPr>
              <w:pStyle w:val="Compact"/>
              <w:jc w:val="left"/>
            </w:pPr>
            <w:r>
              <w:t xml:space="preserve">2–15 days</w:t>
            </w:r>
          </w:p>
        </w:tc>
        <w:tc>
          <w:tcPr/>
          <w:p>
            <w:pPr>
              <w:pStyle w:val="Compact"/>
              <w:jc w:val="left"/>
            </w:pPr>
            <w:r>
              <w:t xml:space="preserve">Training volume generation</w:t>
            </w:r>
          </w:p>
        </w:tc>
        <w:tc>
          <w:tcPr/>
          <w:p>
            <w:pPr>
              <w:pStyle w:val="Compact"/>
              <w:jc w:val="left"/>
            </w:pPr>
            <w:r>
              <w:t xml:space="preserve">Swing Desk profitable</w:t>
            </w:r>
          </w:p>
        </w:tc>
      </w:tr>
      <w:tr>
        <w:tc>
          <w:tcPr/>
          <w:p>
            <w:pPr>
              <w:pStyle w:val="Compact"/>
              <w:jc w:val="left"/>
            </w:pPr>
            <w:r>
              <w:t xml:space="preserve">Options Volatility</w:t>
            </w:r>
          </w:p>
        </w:tc>
        <w:tc>
          <w:tcPr/>
          <w:p>
            <w:pPr>
              <w:pStyle w:val="Compact"/>
              <w:jc w:val="left"/>
            </w:pPr>
            <w:r>
              <w:t xml:space="preserve">3–4</w:t>
            </w:r>
          </w:p>
        </w:tc>
        <w:tc>
          <w:tcPr/>
          <w:p>
            <w:pPr>
              <w:pStyle w:val="Compact"/>
              <w:jc w:val="left"/>
            </w:pPr>
            <w:r>
              <w:t xml:space="preserve">Separate LoRA adapter</w:t>
            </w:r>
          </w:p>
        </w:tc>
        <w:tc>
          <w:tcPr/>
          <w:p>
            <w:pPr>
              <w:pStyle w:val="Compact"/>
              <w:jc w:val="left"/>
            </w:pPr>
            <w:r>
              <w:t xml:space="preserve">S&amp;P 100 options</w:t>
            </w:r>
          </w:p>
        </w:tc>
        <w:tc>
          <w:tcPr/>
          <w:p>
            <w:pPr>
              <w:pStyle w:val="Compact"/>
              <w:jc w:val="left"/>
            </w:pPr>
            <w:r>
              <w:t xml:space="preserve">7–45 days</w:t>
            </w:r>
          </w:p>
        </w:tc>
        <w:tc>
          <w:tcPr/>
          <w:p>
            <w:pPr>
              <w:pStyle w:val="Compact"/>
              <w:jc w:val="left"/>
            </w:pPr>
            <w:r>
              <w:t xml:space="preserve">Credit spreads, iron condors</w:t>
            </w:r>
          </w:p>
        </w:tc>
        <w:tc>
          <w:tcPr/>
          <w:p>
            <w:pPr>
              <w:pStyle w:val="Compact"/>
              <w:jc w:val="left"/>
            </w:pPr>
            <w:r>
              <w:t xml:space="preserve">Research Desk live</w:t>
            </w:r>
          </w:p>
        </w:tc>
      </w:tr>
      <w:tr>
        <w:tc>
          <w:tcPr/>
          <w:p>
            <w:pPr>
              <w:pStyle w:val="Compact"/>
              <w:jc w:val="left"/>
            </w:pPr>
            <w:r>
              <w:t xml:space="preserve">Equity Momentum</w:t>
            </w:r>
          </w:p>
        </w:tc>
        <w:tc>
          <w:tcPr/>
          <w:p>
            <w:pPr>
              <w:pStyle w:val="Compact"/>
              <w:jc w:val="left"/>
            </w:pPr>
            <w:r>
              <w:t xml:space="preserve">5</w:t>
            </w:r>
          </w:p>
        </w:tc>
        <w:tc>
          <w:tcPr/>
          <w:p>
            <w:pPr>
              <w:pStyle w:val="Compact"/>
              <w:jc w:val="left"/>
            </w:pPr>
            <w:r>
              <w:t xml:space="preserve">Separate LoRA adapter</w:t>
            </w:r>
          </w:p>
        </w:tc>
        <w:tc>
          <w:tcPr/>
          <w:p>
            <w:pPr>
              <w:pStyle w:val="Compact"/>
              <w:jc w:val="left"/>
            </w:pPr>
            <w:r>
              <w:t xml:space="preserve">Russell 1000</w:t>
            </w:r>
          </w:p>
        </w:tc>
        <w:tc>
          <w:tcPr/>
          <w:p>
            <w:pPr>
              <w:pStyle w:val="Compact"/>
              <w:jc w:val="left"/>
            </w:pPr>
            <w:r>
              <w:t xml:space="preserve">5–60 days</w:t>
            </w:r>
          </w:p>
        </w:tc>
        <w:tc>
          <w:tcPr/>
          <w:p>
            <w:pPr>
              <w:pStyle w:val="Compact"/>
              <w:jc w:val="left"/>
            </w:pPr>
            <w:r>
              <w:t xml:space="preserve">Breakout/trend-following</w:t>
            </w:r>
          </w:p>
        </w:tc>
        <w:tc>
          <w:tcPr/>
          <w:p>
            <w:pPr>
              <w:pStyle w:val="Compact"/>
              <w:jc w:val="left"/>
            </w:pPr>
            <w:r>
              <w:t xml:space="preserve">Options Desk profitable</w:t>
            </w:r>
          </w:p>
        </w:tc>
      </w:tr>
      <w:tr>
        <w:tc>
          <w:tcPr/>
          <w:p>
            <w:pPr>
              <w:pStyle w:val="Compact"/>
              <w:jc w:val="left"/>
            </w:pPr>
            <w:r>
              <w:t xml:space="preserve">Intraday</w:t>
            </w:r>
          </w:p>
        </w:tc>
        <w:tc>
          <w:tcPr/>
          <w:p>
            <w:pPr>
              <w:pStyle w:val="Compact"/>
              <w:jc w:val="left"/>
            </w:pPr>
            <w:r>
              <w:t xml:space="preserve">6+</w:t>
            </w:r>
          </w:p>
        </w:tc>
        <w:tc>
          <w:tcPr/>
          <w:p>
            <w:pPr>
              <w:pStyle w:val="Compact"/>
              <w:jc w:val="left"/>
            </w:pPr>
            <w:r>
              <w:t xml:space="preserve">Separate model</w:t>
            </w:r>
          </w:p>
        </w:tc>
        <w:tc>
          <w:tcPr/>
          <w:p>
            <w:pPr>
              <w:pStyle w:val="Compact"/>
              <w:jc w:val="left"/>
            </w:pPr>
            <w:r>
              <w:t xml:space="preserve">S&amp;P 500</w:t>
            </w:r>
          </w:p>
        </w:tc>
        <w:tc>
          <w:tcPr/>
          <w:p>
            <w:pPr>
              <w:pStyle w:val="Compact"/>
              <w:jc w:val="left"/>
            </w:pPr>
            <w:r>
              <w:t xml:space="preserve">1-min to intraday</w:t>
            </w:r>
          </w:p>
        </w:tc>
        <w:tc>
          <w:tcPr/>
          <w:p>
            <w:pPr>
              <w:pStyle w:val="Compact"/>
              <w:jc w:val="left"/>
            </w:pPr>
            <w:r>
              <w:t xml:space="preserve">Scalping/stat-arb</w:t>
            </w:r>
          </w:p>
        </w:tc>
        <w:tc>
          <w:tcPr/>
          <w:p>
            <w:pPr>
              <w:pStyle w:val="Compact"/>
              <w:jc w:val="left"/>
            </w:pPr>
            <w:r>
              <w:t xml:space="preserve">Dedicated GPU + real-time data</w:t>
            </w:r>
          </w:p>
        </w:tc>
      </w:tr>
    </w:tbl>
    <w:p>
      <w:pPr>
        <w:pStyle w:val="BodyText"/>
      </w:pPr>
      <w:r>
        <w:t xml:space="preserve">All desks share infrastructure: data collection pipelines, compute scheduler, dashboard, Telegram notifications, and the training pipeline framework. Risk is isolated through separate capital allocations, separate stop-loss budgets, and independent drawdown limits per desk.</w:t>
      </w:r>
    </w:p>
    <w:p>
      <w:pPr>
        <w:pStyle w:val="BodyText"/>
      </w:pPr>
      <w:r>
        <w:t xml:space="preserve">The Options Desk carries a distinct risk profile requiring a 15-check non-linear risk governor (standard equity checks plus Greeks exposure limits, max spread width, correlation to underlying positions, and tail-risk stress tests).</w:t>
      </w:r>
    </w:p>
    <w:bookmarkEnd w:id="34"/>
    <w:bookmarkEnd w:id="35"/>
    <w:bookmarkStart w:id="43" w:name="financial-model"/>
    <w:p>
      <w:pPr>
        <w:pStyle w:val="Heading1"/>
      </w:pPr>
      <w:r>
        <w:t xml:space="preserve">6. Financial Model</w:t>
      </w:r>
    </w:p>
    <w:bookmarkStart w:id="39" w:name="phase-by-phase-projections"/>
    <w:p>
      <w:pPr>
        <w:pStyle w:val="Heading2"/>
      </w:pPr>
      <w:r>
        <w:t xml:space="preserve">Phase-by-phase projections</w:t>
      </w:r>
    </w:p>
    <w:p>
      <w:pPr>
        <w:pStyle w:val="FirstParagraph"/>
      </w:pPr>
      <w:r>
        <w:t xml:space="preserve">All projections assume 252 trading days, 22% annualized volatility for S&amp;P 100 names, and operating costs as detailed below.</w:t>
      </w:r>
    </w:p>
    <w:bookmarkStart w:id="36" w:name="X3f9bdc641b7f511c6079580f661ca67a2a77284"/>
    <w:p>
      <w:pPr>
        <w:pStyle w:val="Heading3"/>
      </w:pPr>
      <w:r>
        <w:t xml:space="preserve">Conservative scenario (Sharpe 1.0, ~15% annual return)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Capital</w:t>
            </w:r>
          </w:p>
        </w:tc>
        <w:tc>
          <w:tcPr/>
          <w:p>
            <w:pPr>
              <w:pStyle w:val="Compact"/>
              <w:jc w:val="left"/>
            </w:pPr>
            <w:r>
              <w:t xml:space="preserve">Gross Return</w:t>
            </w:r>
          </w:p>
        </w:tc>
        <w:tc>
          <w:tcPr/>
          <w:p>
            <w:pPr>
              <w:pStyle w:val="Compact"/>
              <w:jc w:val="left"/>
            </w:pPr>
            <w:r>
              <w:t xml:space="preserve">Operating Cost</w:t>
            </w:r>
          </w:p>
        </w:tc>
        <w:tc>
          <w:tcPr/>
          <w:p>
            <w:pPr>
              <w:pStyle w:val="Compact"/>
              <w:jc w:val="left"/>
            </w:pPr>
            <w:r>
              <w:t xml:space="preserve">Net Income</w:t>
            </w:r>
          </w:p>
        </w:tc>
        <w:tc>
          <w:tcPr/>
          <w:p>
            <w:pPr>
              <w:pStyle w:val="Compact"/>
              <w:jc w:val="left"/>
            </w:pPr>
            <w:r>
              <w:t xml:space="preserve">Cumulative</w:t>
            </w:r>
          </w:p>
        </w:tc>
      </w:tr>
      <w:tr>
        <w:tc>
          <w:tcPr/>
          <w:p>
            <w:pPr>
              <w:pStyle w:val="Compact"/>
              <w:jc w:val="left"/>
            </w:pPr>
            <w:r>
              <w:t xml:space="preserve">Phase 1 (paper)</w:t>
            </w:r>
          </w:p>
        </w:tc>
        <w:tc>
          <w:tcPr/>
          <w:p>
            <w:pPr>
              <w:pStyle w:val="Compact"/>
              <w:jc w:val="left"/>
            </w:pPr>
            <w:r>
              <w:t xml:space="preserve">$100K paper</w:t>
            </w:r>
          </w:p>
        </w:tc>
        <w:tc>
          <w:tcPr/>
          <w:p>
            <w:pPr>
              <w:pStyle w:val="Compact"/>
              <w:jc w:val="left"/>
            </w:pPr>
            <w:r>
              <w:t xml:space="preserve">$0</w:t>
            </w:r>
          </w:p>
        </w:tc>
        <w:tc>
          <w:tcPr/>
          <w:p>
            <w:pPr>
              <w:pStyle w:val="Compact"/>
              <w:jc w:val="left"/>
            </w:pPr>
            <w:r>
              <w:t xml:space="preserve">$480/yr</w:t>
            </w:r>
          </w:p>
        </w:tc>
        <w:tc>
          <w:tcPr/>
          <w:p>
            <w:pPr>
              <w:pStyle w:val="Compact"/>
              <w:jc w:val="left"/>
            </w:pPr>
            <w:r>
              <w:t xml:space="preserve">-$480</w:t>
            </w:r>
          </w:p>
        </w:tc>
        <w:tc>
          <w:tcPr/>
          <w:p>
            <w:pPr>
              <w:pStyle w:val="Compact"/>
              <w:jc w:val="left"/>
            </w:pPr>
            <w:r>
              <w:t xml:space="preserve">-$480</w:t>
            </w:r>
          </w:p>
        </w:tc>
      </w:tr>
      <w:tr>
        <w:tc>
          <w:tcPr/>
          <w:p>
            <w:pPr>
              <w:pStyle w:val="Compact"/>
              <w:jc w:val="left"/>
            </w:pPr>
            <w:r>
              <w:t xml:space="preserve">Phase 2 (live $5K)</w:t>
            </w:r>
          </w:p>
        </w:tc>
        <w:tc>
          <w:tcPr/>
          <w:p>
            <w:pPr>
              <w:pStyle w:val="Compact"/>
              <w:jc w:val="left"/>
            </w:pPr>
            <w:r>
              <w:t xml:space="preserve">$5,000</w:t>
            </w:r>
          </w:p>
        </w:tc>
        <w:tc>
          <w:tcPr/>
          <w:p>
            <w:pPr>
              <w:pStyle w:val="Compact"/>
              <w:jc w:val="left"/>
            </w:pPr>
            <w:r>
              <w:t xml:space="preserve">$750</w:t>
            </w:r>
          </w:p>
        </w:tc>
        <w:tc>
          <w:tcPr/>
          <w:p>
            <w:pPr>
              <w:pStyle w:val="Compact"/>
              <w:jc w:val="left"/>
            </w:pPr>
            <w:r>
              <w:t xml:space="preserve">$3,600/yr</w:t>
            </w:r>
          </w:p>
        </w:tc>
        <w:tc>
          <w:tcPr/>
          <w:p>
            <w:pPr>
              <w:pStyle w:val="Compact"/>
              <w:jc w:val="left"/>
            </w:pPr>
            <w:r>
              <w:t xml:space="preserve">-$2,850</w:t>
            </w:r>
          </w:p>
        </w:tc>
        <w:tc>
          <w:tcPr/>
          <w:p>
            <w:pPr>
              <w:pStyle w:val="Compact"/>
              <w:jc w:val="left"/>
            </w:pPr>
            <w:r>
              <w:t xml:space="preserve">-$3,330</w:t>
            </w:r>
          </w:p>
        </w:tc>
      </w:tr>
      <w:tr>
        <w:tc>
          <w:tcPr/>
          <w:p>
            <w:pPr>
              <w:pStyle w:val="Compact"/>
              <w:jc w:val="left"/>
            </w:pPr>
            <w:r>
              <w:t xml:space="preserve">Phase 3 ($25K)</w:t>
            </w:r>
          </w:p>
        </w:tc>
        <w:tc>
          <w:tcPr/>
          <w:p>
            <w:pPr>
              <w:pStyle w:val="Compact"/>
              <w:jc w:val="left"/>
            </w:pPr>
            <w:r>
              <w:t xml:space="preserve">$25,000</w:t>
            </w:r>
          </w:p>
        </w:tc>
        <w:tc>
          <w:tcPr/>
          <w:p>
            <w:pPr>
              <w:pStyle w:val="Compact"/>
              <w:jc w:val="left"/>
            </w:pPr>
            <w:r>
              <w:t xml:space="preserve">$3,750</w:t>
            </w:r>
          </w:p>
        </w:tc>
        <w:tc>
          <w:tcPr/>
          <w:p>
            <w:pPr>
              <w:pStyle w:val="Compact"/>
              <w:jc w:val="left"/>
            </w:pPr>
            <w:r>
              <w:t xml:space="preserve">$4,200/yr</w:t>
            </w:r>
          </w:p>
        </w:tc>
        <w:tc>
          <w:tcPr/>
          <w:p>
            <w:pPr>
              <w:pStyle w:val="Compact"/>
              <w:jc w:val="left"/>
            </w:pPr>
            <w:r>
              <w:t xml:space="preserve">-$450</w:t>
            </w:r>
          </w:p>
        </w:tc>
        <w:tc>
          <w:tcPr/>
          <w:p>
            <w:pPr>
              <w:pStyle w:val="Compact"/>
              <w:jc w:val="left"/>
            </w:pPr>
            <w:r>
              <w:t xml:space="preserve">-$3,780</w:t>
            </w:r>
          </w:p>
        </w:tc>
      </w:tr>
      <w:tr>
        <w:tc>
          <w:tcPr/>
          <w:p>
            <w:pPr>
              <w:pStyle w:val="Compact"/>
              <w:jc w:val="left"/>
            </w:pPr>
            <w:r>
              <w:t xml:space="preserve">Phase 4 ($100K)</w:t>
            </w:r>
          </w:p>
        </w:tc>
        <w:tc>
          <w:tcPr/>
          <w:p>
            <w:pPr>
              <w:pStyle w:val="Compact"/>
              <w:jc w:val="left"/>
            </w:pPr>
            <w:r>
              <w:t xml:space="preserve">$100,000</w:t>
            </w:r>
          </w:p>
        </w:tc>
        <w:tc>
          <w:tcPr/>
          <w:p>
            <w:pPr>
              <w:pStyle w:val="Compact"/>
              <w:jc w:val="left"/>
            </w:pPr>
            <w:r>
              <w:t xml:space="preserve">$15,000</w:t>
            </w:r>
          </w:p>
        </w:tc>
        <w:tc>
          <w:tcPr/>
          <w:p>
            <w:pPr>
              <w:pStyle w:val="Compact"/>
              <w:jc w:val="left"/>
            </w:pPr>
            <w:r>
              <w:t xml:space="preserve">$6,000/yr</w:t>
            </w:r>
          </w:p>
        </w:tc>
        <w:tc>
          <w:tcPr/>
          <w:p>
            <w:pPr>
              <w:pStyle w:val="Compact"/>
              <w:jc w:val="left"/>
            </w:pPr>
            <w:r>
              <w:t xml:space="preserve">$9,000</w:t>
            </w:r>
          </w:p>
        </w:tc>
        <w:tc>
          <w:tcPr/>
          <w:p>
            <w:pPr>
              <w:pStyle w:val="Compact"/>
              <w:jc w:val="left"/>
            </w:pPr>
            <w:r>
              <w:t xml:space="preserve">$5,220</w:t>
            </w:r>
          </w:p>
        </w:tc>
      </w:tr>
      <w:tr>
        <w:tc>
          <w:tcPr/>
          <w:p>
            <w:pPr>
              <w:pStyle w:val="Compact"/>
              <w:jc w:val="left"/>
            </w:pPr>
            <w:r>
              <w:t xml:space="preserve">Phase 5 ($3M AUM)</w:t>
            </w:r>
          </w:p>
        </w:tc>
        <w:tc>
          <w:tcPr/>
          <w:p>
            <w:pPr>
              <w:pStyle w:val="Compact"/>
              <w:jc w:val="left"/>
            </w:pPr>
            <w:r>
              <w:t xml:space="preserve">$3,000,000</w:t>
            </w:r>
          </w:p>
        </w:tc>
        <w:tc>
          <w:tcPr/>
          <w:p>
            <w:pPr>
              <w:pStyle w:val="Compact"/>
              <w:jc w:val="left"/>
            </w:pPr>
            <w:r>
              <w:t xml:space="preserve">$450,000</w:t>
            </w:r>
          </w:p>
        </w:tc>
        <w:tc>
          <w:tcPr/>
          <w:p>
            <w:pPr>
              <w:pStyle w:val="Compact"/>
              <w:jc w:val="left"/>
            </w:pPr>
            <w:r>
              <w:t xml:space="preserve">$100,000/yr</w:t>
            </w:r>
          </w:p>
        </w:tc>
        <w:tc>
          <w:tcPr/>
          <w:p>
            <w:pPr>
              <w:pStyle w:val="Compact"/>
              <w:jc w:val="left"/>
            </w:pPr>
            <w:r>
              <w:t xml:space="preserve">$350,000</w:t>
            </w:r>
          </w:p>
        </w:tc>
        <w:tc>
          <w:tcPr/>
          <w:p>
            <w:pPr>
              <w:pStyle w:val="Compact"/>
              <w:jc w:val="left"/>
            </w:pPr>
            <w:r>
              <w:t xml:space="preserve">$355,220</w:t>
            </w:r>
          </w:p>
        </w:tc>
      </w:tr>
    </w:tbl>
    <w:bookmarkEnd w:id="36"/>
    <w:bookmarkStart w:id="37" w:name="base-case-sharpe-1.5-22-annual-return"/>
    <w:p>
      <w:pPr>
        <w:pStyle w:val="Heading3"/>
      </w:pPr>
      <w:r>
        <w:t xml:space="preserve">Base case (Sharpe 1.5, ~22% annual return)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Capital</w:t>
            </w:r>
          </w:p>
        </w:tc>
        <w:tc>
          <w:tcPr/>
          <w:p>
            <w:pPr>
              <w:pStyle w:val="Compact"/>
              <w:jc w:val="left"/>
            </w:pPr>
            <w:r>
              <w:t xml:space="preserve">Gross Return</w:t>
            </w:r>
          </w:p>
        </w:tc>
        <w:tc>
          <w:tcPr/>
          <w:p>
            <w:pPr>
              <w:pStyle w:val="Compact"/>
              <w:jc w:val="left"/>
            </w:pPr>
            <w:r>
              <w:t xml:space="preserve">Operating Cost</w:t>
            </w:r>
          </w:p>
        </w:tc>
        <w:tc>
          <w:tcPr/>
          <w:p>
            <w:pPr>
              <w:pStyle w:val="Compact"/>
              <w:jc w:val="left"/>
            </w:pPr>
            <w:r>
              <w:t xml:space="preserve">Net Income</w:t>
            </w:r>
          </w:p>
        </w:tc>
        <w:tc>
          <w:tcPr/>
          <w:p>
            <w:pPr>
              <w:pStyle w:val="Compact"/>
              <w:jc w:val="left"/>
            </w:pPr>
            <w:r>
              <w:t xml:space="preserve">Cumulative</w:t>
            </w:r>
          </w:p>
        </w:tc>
      </w:tr>
      <w:tr>
        <w:tc>
          <w:tcPr/>
          <w:p>
            <w:pPr>
              <w:pStyle w:val="Compact"/>
              <w:jc w:val="left"/>
            </w:pPr>
            <w:r>
              <w:t xml:space="preserve">Phase 1 (paper)</w:t>
            </w:r>
          </w:p>
        </w:tc>
        <w:tc>
          <w:tcPr/>
          <w:p>
            <w:pPr>
              <w:pStyle w:val="Compact"/>
              <w:jc w:val="left"/>
            </w:pPr>
            <w:r>
              <w:t xml:space="preserve">$100K paper</w:t>
            </w:r>
          </w:p>
        </w:tc>
        <w:tc>
          <w:tcPr/>
          <w:p>
            <w:pPr>
              <w:pStyle w:val="Compact"/>
              <w:jc w:val="left"/>
            </w:pPr>
            <w:r>
              <w:t xml:space="preserve">$0</w:t>
            </w:r>
          </w:p>
        </w:tc>
        <w:tc>
          <w:tcPr/>
          <w:p>
            <w:pPr>
              <w:pStyle w:val="Compact"/>
              <w:jc w:val="left"/>
            </w:pPr>
            <w:r>
              <w:t xml:space="preserve">$480/yr</w:t>
            </w:r>
          </w:p>
        </w:tc>
        <w:tc>
          <w:tcPr/>
          <w:p>
            <w:pPr>
              <w:pStyle w:val="Compact"/>
              <w:jc w:val="left"/>
            </w:pPr>
            <w:r>
              <w:t xml:space="preserve">-$480</w:t>
            </w:r>
          </w:p>
        </w:tc>
        <w:tc>
          <w:tcPr/>
          <w:p>
            <w:pPr>
              <w:pStyle w:val="Compact"/>
              <w:jc w:val="left"/>
            </w:pPr>
            <w:r>
              <w:t xml:space="preserve">-$480</w:t>
            </w:r>
          </w:p>
        </w:tc>
      </w:tr>
      <w:tr>
        <w:tc>
          <w:tcPr/>
          <w:p>
            <w:pPr>
              <w:pStyle w:val="Compact"/>
              <w:jc w:val="left"/>
            </w:pPr>
            <w:r>
              <w:t xml:space="preserve">Phase 2 (live $5K)</w:t>
            </w:r>
          </w:p>
        </w:tc>
        <w:tc>
          <w:tcPr/>
          <w:p>
            <w:pPr>
              <w:pStyle w:val="Compact"/>
              <w:jc w:val="left"/>
            </w:pPr>
            <w:r>
              <w:t xml:space="preserve">$5,000</w:t>
            </w:r>
          </w:p>
        </w:tc>
        <w:tc>
          <w:tcPr/>
          <w:p>
            <w:pPr>
              <w:pStyle w:val="Compact"/>
              <w:jc w:val="left"/>
            </w:pPr>
            <w:r>
              <w:t xml:space="preserve">$1,100</w:t>
            </w:r>
          </w:p>
        </w:tc>
        <w:tc>
          <w:tcPr/>
          <w:p>
            <w:pPr>
              <w:pStyle w:val="Compact"/>
              <w:jc w:val="left"/>
            </w:pPr>
            <w:r>
              <w:t xml:space="preserve">$3,600/yr</w:t>
            </w:r>
          </w:p>
        </w:tc>
        <w:tc>
          <w:tcPr/>
          <w:p>
            <w:pPr>
              <w:pStyle w:val="Compact"/>
              <w:jc w:val="left"/>
            </w:pPr>
            <w:r>
              <w:t xml:space="preserve">-$2,500</w:t>
            </w:r>
          </w:p>
        </w:tc>
        <w:tc>
          <w:tcPr/>
          <w:p>
            <w:pPr>
              <w:pStyle w:val="Compact"/>
              <w:jc w:val="left"/>
            </w:pPr>
            <w:r>
              <w:t xml:space="preserve">-$2,980</w:t>
            </w:r>
          </w:p>
        </w:tc>
      </w:tr>
      <w:tr>
        <w:tc>
          <w:tcPr/>
          <w:p>
            <w:pPr>
              <w:pStyle w:val="Compact"/>
              <w:jc w:val="left"/>
            </w:pPr>
            <w:r>
              <w:t xml:space="preserve">Phase 3 ($25K)</w:t>
            </w:r>
          </w:p>
        </w:tc>
        <w:tc>
          <w:tcPr/>
          <w:p>
            <w:pPr>
              <w:pStyle w:val="Compact"/>
              <w:jc w:val="left"/>
            </w:pPr>
            <w:r>
              <w:t xml:space="preserve">$25,000</w:t>
            </w:r>
          </w:p>
        </w:tc>
        <w:tc>
          <w:tcPr/>
          <w:p>
            <w:pPr>
              <w:pStyle w:val="Compact"/>
              <w:jc w:val="left"/>
            </w:pPr>
            <w:r>
              <w:t xml:space="preserve">$5,500</w:t>
            </w:r>
          </w:p>
        </w:tc>
        <w:tc>
          <w:tcPr/>
          <w:p>
            <w:pPr>
              <w:pStyle w:val="Compact"/>
              <w:jc w:val="left"/>
            </w:pPr>
            <w:r>
              <w:t xml:space="preserve">$4,200/yr</w:t>
            </w:r>
          </w:p>
        </w:tc>
        <w:tc>
          <w:tcPr/>
          <w:p>
            <w:pPr>
              <w:pStyle w:val="Compact"/>
              <w:jc w:val="left"/>
            </w:pPr>
            <w:r>
              <w:t xml:space="preserve">$1,300</w:t>
            </w:r>
          </w:p>
        </w:tc>
        <w:tc>
          <w:tcPr/>
          <w:p>
            <w:pPr>
              <w:pStyle w:val="Compact"/>
              <w:jc w:val="left"/>
            </w:pPr>
            <w:r>
              <w:t xml:space="preserve">-$1,680</w:t>
            </w:r>
          </w:p>
        </w:tc>
      </w:tr>
      <w:tr>
        <w:tc>
          <w:tcPr/>
          <w:p>
            <w:pPr>
              <w:pStyle w:val="Compact"/>
              <w:jc w:val="left"/>
            </w:pPr>
            <w:r>
              <w:t xml:space="preserve">Phase 4 ($100K)</w:t>
            </w:r>
          </w:p>
        </w:tc>
        <w:tc>
          <w:tcPr/>
          <w:p>
            <w:pPr>
              <w:pStyle w:val="Compact"/>
              <w:jc w:val="left"/>
            </w:pPr>
            <w:r>
              <w:t xml:space="preserve">$100,000</w:t>
            </w:r>
          </w:p>
        </w:tc>
        <w:tc>
          <w:tcPr/>
          <w:p>
            <w:pPr>
              <w:pStyle w:val="Compact"/>
              <w:jc w:val="left"/>
            </w:pPr>
            <w:r>
              <w:t xml:space="preserve">$22,000</w:t>
            </w:r>
          </w:p>
        </w:tc>
        <w:tc>
          <w:tcPr/>
          <w:p>
            <w:pPr>
              <w:pStyle w:val="Compact"/>
              <w:jc w:val="left"/>
            </w:pPr>
            <w:r>
              <w:t xml:space="preserve">$6,000/yr</w:t>
            </w:r>
          </w:p>
        </w:tc>
        <w:tc>
          <w:tcPr/>
          <w:p>
            <w:pPr>
              <w:pStyle w:val="Compact"/>
              <w:jc w:val="left"/>
            </w:pPr>
            <w:r>
              <w:t xml:space="preserve">$16,000</w:t>
            </w:r>
          </w:p>
        </w:tc>
        <w:tc>
          <w:tcPr/>
          <w:p>
            <w:pPr>
              <w:pStyle w:val="Compact"/>
              <w:jc w:val="left"/>
            </w:pPr>
            <w:r>
              <w:t xml:space="preserve">$14,320</w:t>
            </w:r>
          </w:p>
        </w:tc>
      </w:tr>
      <w:tr>
        <w:tc>
          <w:tcPr/>
          <w:p>
            <w:pPr>
              <w:pStyle w:val="Compact"/>
              <w:jc w:val="left"/>
            </w:pPr>
            <w:r>
              <w:t xml:space="preserve">Phase 5 ($3M AUM)</w:t>
            </w:r>
          </w:p>
        </w:tc>
        <w:tc>
          <w:tcPr/>
          <w:p>
            <w:pPr>
              <w:pStyle w:val="Compact"/>
              <w:jc w:val="left"/>
            </w:pPr>
            <w:r>
              <w:t xml:space="preserve">$3,000,000</w:t>
            </w:r>
          </w:p>
        </w:tc>
        <w:tc>
          <w:tcPr/>
          <w:p>
            <w:pPr>
              <w:pStyle w:val="Compact"/>
              <w:jc w:val="left"/>
            </w:pPr>
            <w:r>
              <w:t xml:space="preserve">$660,000</w:t>
            </w:r>
          </w:p>
        </w:tc>
        <w:tc>
          <w:tcPr/>
          <w:p>
            <w:pPr>
              <w:pStyle w:val="Compact"/>
              <w:jc w:val="left"/>
            </w:pPr>
            <w:r>
              <w:t xml:space="preserve">$100,000/yr</w:t>
            </w:r>
          </w:p>
        </w:tc>
        <w:tc>
          <w:tcPr/>
          <w:p>
            <w:pPr>
              <w:pStyle w:val="Compact"/>
              <w:jc w:val="left"/>
            </w:pPr>
            <w:r>
              <w:t xml:space="preserve">$560,000</w:t>
            </w:r>
          </w:p>
        </w:tc>
        <w:tc>
          <w:tcPr/>
          <w:p>
            <w:pPr>
              <w:pStyle w:val="Compact"/>
              <w:jc w:val="left"/>
            </w:pPr>
            <w:r>
              <w:t xml:space="preserve">$574,320</w:t>
            </w:r>
          </w:p>
        </w:tc>
      </w:tr>
    </w:tbl>
    <w:bookmarkEnd w:id="37"/>
    <w:bookmarkStart w:id="38" w:name="Xc8ed2d96ad75f992451fa416874f10c52ec5ddd"/>
    <w:p>
      <w:pPr>
        <w:pStyle w:val="Heading3"/>
      </w:pPr>
      <w:r>
        <w:t xml:space="preserve">Optimistic scenario (Sharpe 2.0, ~30% annual return)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Capital</w:t>
            </w:r>
          </w:p>
        </w:tc>
        <w:tc>
          <w:tcPr/>
          <w:p>
            <w:pPr>
              <w:pStyle w:val="Compact"/>
              <w:jc w:val="left"/>
            </w:pPr>
            <w:r>
              <w:t xml:space="preserve">Gross Return</w:t>
            </w:r>
          </w:p>
        </w:tc>
        <w:tc>
          <w:tcPr/>
          <w:p>
            <w:pPr>
              <w:pStyle w:val="Compact"/>
              <w:jc w:val="left"/>
            </w:pPr>
            <w:r>
              <w:t xml:space="preserve">Operating Cost</w:t>
            </w:r>
          </w:p>
        </w:tc>
        <w:tc>
          <w:tcPr/>
          <w:p>
            <w:pPr>
              <w:pStyle w:val="Compact"/>
              <w:jc w:val="left"/>
            </w:pPr>
            <w:r>
              <w:t xml:space="preserve">Net Income</w:t>
            </w:r>
          </w:p>
        </w:tc>
        <w:tc>
          <w:tcPr/>
          <w:p>
            <w:pPr>
              <w:pStyle w:val="Compact"/>
              <w:jc w:val="left"/>
            </w:pPr>
            <w:r>
              <w:t xml:space="preserve">Cumulative</w:t>
            </w:r>
          </w:p>
        </w:tc>
      </w:tr>
      <w:tr>
        <w:tc>
          <w:tcPr/>
          <w:p>
            <w:pPr>
              <w:pStyle w:val="Compact"/>
              <w:jc w:val="left"/>
            </w:pPr>
            <w:r>
              <w:t xml:space="preserve">Phase 1 (paper)</w:t>
            </w:r>
          </w:p>
        </w:tc>
        <w:tc>
          <w:tcPr/>
          <w:p>
            <w:pPr>
              <w:pStyle w:val="Compact"/>
              <w:jc w:val="left"/>
            </w:pPr>
            <w:r>
              <w:t xml:space="preserve">$100K paper</w:t>
            </w:r>
          </w:p>
        </w:tc>
        <w:tc>
          <w:tcPr/>
          <w:p>
            <w:pPr>
              <w:pStyle w:val="Compact"/>
              <w:jc w:val="left"/>
            </w:pPr>
            <w:r>
              <w:t xml:space="preserve">$0</w:t>
            </w:r>
          </w:p>
        </w:tc>
        <w:tc>
          <w:tcPr/>
          <w:p>
            <w:pPr>
              <w:pStyle w:val="Compact"/>
              <w:jc w:val="left"/>
            </w:pPr>
            <w:r>
              <w:t xml:space="preserve">$480/yr</w:t>
            </w:r>
          </w:p>
        </w:tc>
        <w:tc>
          <w:tcPr/>
          <w:p>
            <w:pPr>
              <w:pStyle w:val="Compact"/>
              <w:jc w:val="left"/>
            </w:pPr>
            <w:r>
              <w:t xml:space="preserve">-$480</w:t>
            </w:r>
          </w:p>
        </w:tc>
        <w:tc>
          <w:tcPr/>
          <w:p>
            <w:pPr>
              <w:pStyle w:val="Compact"/>
              <w:jc w:val="left"/>
            </w:pPr>
            <w:r>
              <w:t xml:space="preserve">-$480</w:t>
            </w:r>
          </w:p>
        </w:tc>
      </w:tr>
      <w:tr>
        <w:tc>
          <w:tcPr/>
          <w:p>
            <w:pPr>
              <w:pStyle w:val="Compact"/>
              <w:jc w:val="left"/>
            </w:pPr>
            <w:r>
              <w:t xml:space="preserve">Phase 2 (live $5K)</w:t>
            </w:r>
          </w:p>
        </w:tc>
        <w:tc>
          <w:tcPr/>
          <w:p>
            <w:pPr>
              <w:pStyle w:val="Compact"/>
              <w:jc w:val="left"/>
            </w:pPr>
            <w:r>
              <w:t xml:space="preserve">$5,000</w:t>
            </w:r>
          </w:p>
        </w:tc>
        <w:tc>
          <w:tcPr/>
          <w:p>
            <w:pPr>
              <w:pStyle w:val="Compact"/>
              <w:jc w:val="left"/>
            </w:pPr>
            <w:r>
              <w:t xml:space="preserve">$1,500</w:t>
            </w:r>
          </w:p>
        </w:tc>
        <w:tc>
          <w:tcPr/>
          <w:p>
            <w:pPr>
              <w:pStyle w:val="Compact"/>
              <w:jc w:val="left"/>
            </w:pPr>
            <w:r>
              <w:t xml:space="preserve">$3,600/yr</w:t>
            </w:r>
          </w:p>
        </w:tc>
        <w:tc>
          <w:tcPr/>
          <w:p>
            <w:pPr>
              <w:pStyle w:val="Compact"/>
              <w:jc w:val="left"/>
            </w:pPr>
            <w:r>
              <w:t xml:space="preserve">-$2,100</w:t>
            </w:r>
          </w:p>
        </w:tc>
        <w:tc>
          <w:tcPr/>
          <w:p>
            <w:pPr>
              <w:pStyle w:val="Compact"/>
              <w:jc w:val="left"/>
            </w:pPr>
            <w:r>
              <w:t xml:space="preserve">-$2,580</w:t>
            </w:r>
          </w:p>
        </w:tc>
      </w:tr>
      <w:tr>
        <w:tc>
          <w:tcPr/>
          <w:p>
            <w:pPr>
              <w:pStyle w:val="Compact"/>
              <w:jc w:val="left"/>
            </w:pPr>
            <w:r>
              <w:t xml:space="preserve">Phase 3 ($25K)</w:t>
            </w:r>
          </w:p>
        </w:tc>
        <w:tc>
          <w:tcPr/>
          <w:p>
            <w:pPr>
              <w:pStyle w:val="Compact"/>
              <w:jc w:val="left"/>
            </w:pPr>
            <w:r>
              <w:t xml:space="preserve">$25,000</w:t>
            </w:r>
          </w:p>
        </w:tc>
        <w:tc>
          <w:tcPr/>
          <w:p>
            <w:pPr>
              <w:pStyle w:val="Compact"/>
              <w:jc w:val="left"/>
            </w:pPr>
            <w:r>
              <w:t xml:space="preserve">$7,500</w:t>
            </w:r>
          </w:p>
        </w:tc>
        <w:tc>
          <w:tcPr/>
          <w:p>
            <w:pPr>
              <w:pStyle w:val="Compact"/>
              <w:jc w:val="left"/>
            </w:pPr>
            <w:r>
              <w:t xml:space="preserve">$4,200/yr</w:t>
            </w:r>
          </w:p>
        </w:tc>
        <w:tc>
          <w:tcPr/>
          <w:p>
            <w:pPr>
              <w:pStyle w:val="Compact"/>
              <w:jc w:val="left"/>
            </w:pPr>
            <w:r>
              <w:t xml:space="preserve">$3,300</w:t>
            </w:r>
          </w:p>
        </w:tc>
        <w:tc>
          <w:tcPr/>
          <w:p>
            <w:pPr>
              <w:pStyle w:val="Compact"/>
              <w:jc w:val="left"/>
            </w:pPr>
            <w:r>
              <w:t xml:space="preserve">$720</w:t>
            </w:r>
          </w:p>
        </w:tc>
      </w:tr>
      <w:tr>
        <w:tc>
          <w:tcPr/>
          <w:p>
            <w:pPr>
              <w:pStyle w:val="Compact"/>
              <w:jc w:val="left"/>
            </w:pPr>
            <w:r>
              <w:t xml:space="preserve">Phase 4 ($100K)</w:t>
            </w:r>
          </w:p>
        </w:tc>
        <w:tc>
          <w:tcPr/>
          <w:p>
            <w:pPr>
              <w:pStyle w:val="Compact"/>
              <w:jc w:val="left"/>
            </w:pPr>
            <w:r>
              <w:t xml:space="preserve">$100,000</w:t>
            </w:r>
          </w:p>
        </w:tc>
        <w:tc>
          <w:tcPr/>
          <w:p>
            <w:pPr>
              <w:pStyle w:val="Compact"/>
              <w:jc w:val="left"/>
            </w:pPr>
            <w:r>
              <w:t xml:space="preserve">$30,000</w:t>
            </w:r>
          </w:p>
        </w:tc>
        <w:tc>
          <w:tcPr/>
          <w:p>
            <w:pPr>
              <w:pStyle w:val="Compact"/>
              <w:jc w:val="left"/>
            </w:pPr>
            <w:r>
              <w:t xml:space="preserve">$6,000/yr</w:t>
            </w:r>
          </w:p>
        </w:tc>
        <w:tc>
          <w:tcPr/>
          <w:p>
            <w:pPr>
              <w:pStyle w:val="Compact"/>
              <w:jc w:val="left"/>
            </w:pPr>
            <w:r>
              <w:t xml:space="preserve">$24,000</w:t>
            </w:r>
          </w:p>
        </w:tc>
        <w:tc>
          <w:tcPr/>
          <w:p>
            <w:pPr>
              <w:pStyle w:val="Compact"/>
              <w:jc w:val="left"/>
            </w:pPr>
            <w:r>
              <w:t xml:space="preserve">$24,720</w:t>
            </w:r>
          </w:p>
        </w:tc>
      </w:tr>
      <w:tr>
        <w:tc>
          <w:tcPr/>
          <w:p>
            <w:pPr>
              <w:pStyle w:val="Compact"/>
              <w:jc w:val="left"/>
            </w:pPr>
            <w:r>
              <w:t xml:space="preserve">Phase 5 ($3M AUM)</w:t>
            </w:r>
          </w:p>
        </w:tc>
        <w:tc>
          <w:tcPr/>
          <w:p>
            <w:pPr>
              <w:pStyle w:val="Compact"/>
              <w:jc w:val="left"/>
            </w:pPr>
            <w:r>
              <w:t xml:space="preserve">$3,000,000</w:t>
            </w:r>
          </w:p>
        </w:tc>
        <w:tc>
          <w:tcPr/>
          <w:p>
            <w:pPr>
              <w:pStyle w:val="Compact"/>
              <w:jc w:val="left"/>
            </w:pPr>
            <w:r>
              <w:t xml:space="preserve">$900,000</w:t>
            </w:r>
          </w:p>
        </w:tc>
        <w:tc>
          <w:tcPr/>
          <w:p>
            <w:pPr>
              <w:pStyle w:val="Compact"/>
              <w:jc w:val="left"/>
            </w:pPr>
            <w:r>
              <w:t xml:space="preserve">$100,000/yr</w:t>
            </w:r>
          </w:p>
        </w:tc>
        <w:tc>
          <w:tcPr/>
          <w:p>
            <w:pPr>
              <w:pStyle w:val="Compact"/>
              <w:jc w:val="left"/>
            </w:pPr>
            <w:r>
              <w:t xml:space="preserve">$800,000</w:t>
            </w:r>
          </w:p>
        </w:tc>
        <w:tc>
          <w:tcPr/>
          <w:p>
            <w:pPr>
              <w:pStyle w:val="Compact"/>
              <w:jc w:val="left"/>
            </w:pPr>
            <w:r>
              <w:t xml:space="preserve">$824,720</w:t>
            </w:r>
          </w:p>
        </w:tc>
      </w:tr>
    </w:tbl>
    <w:bookmarkEnd w:id="38"/>
    <w:bookmarkEnd w:id="39"/>
    <w:bookmarkStart w:id="40" w:name="fund-economics-by-aum-level"/>
    <w:p>
      <w:pPr>
        <w:pStyle w:val="Heading2"/>
      </w:pPr>
      <w:r>
        <w:t xml:space="preserve">Fund economics by AUM level</w:t>
      </w:r>
    </w:p>
    <w:p>
      <w:pPr>
        <w:pStyle w:val="FirstParagraph"/>
      </w:pPr>
      <w:r>
        <w:t xml:space="preserve">Assumes 1.5% management fee, 17.5% performance fee, 22% gross return (base case).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AUM</w:t>
            </w:r>
          </w:p>
        </w:tc>
        <w:tc>
          <w:tcPr/>
          <w:p>
            <w:pPr>
              <w:pStyle w:val="Compact"/>
              <w:jc w:val="left"/>
            </w:pPr>
            <w:r>
              <w:t xml:space="preserve">Mgmt Fee</w:t>
            </w:r>
          </w:p>
        </w:tc>
        <w:tc>
          <w:tcPr/>
          <w:p>
            <w:pPr>
              <w:pStyle w:val="Compact"/>
              <w:jc w:val="left"/>
            </w:pPr>
            <w:r>
              <w:t xml:space="preserve">Perf Fee (22% gross)</w:t>
            </w:r>
          </w:p>
        </w:tc>
        <w:tc>
          <w:tcPr/>
          <w:p>
            <w:pPr>
              <w:pStyle w:val="Compact"/>
              <w:jc w:val="left"/>
            </w:pPr>
            <w:r>
              <w:t xml:space="preserve">Total Revenue</w:t>
            </w:r>
          </w:p>
        </w:tc>
        <w:tc>
          <w:tcPr/>
          <w:p>
            <w:pPr>
              <w:pStyle w:val="Compact"/>
              <w:jc w:val="left"/>
            </w:pPr>
            <w:r>
              <w:t xml:space="preserve">Operating Cost</w:t>
            </w:r>
          </w:p>
        </w:tc>
        <w:tc>
          <w:tcPr/>
          <w:p>
            <w:pPr>
              <w:pStyle w:val="Compact"/>
              <w:jc w:val="left"/>
            </w:pPr>
            <w:r>
              <w:t xml:space="preserve">Net to Manager</w:t>
            </w:r>
          </w:p>
        </w:tc>
      </w:tr>
      <w:tr>
        <w:tc>
          <w:tcPr/>
          <w:p>
            <w:pPr>
              <w:pStyle w:val="Compact"/>
              <w:jc w:val="left"/>
            </w:pPr>
            <w:r>
              <w:t xml:space="preserve">$1M</w:t>
            </w:r>
          </w:p>
        </w:tc>
        <w:tc>
          <w:tcPr/>
          <w:p>
            <w:pPr>
              <w:pStyle w:val="Compact"/>
              <w:jc w:val="left"/>
            </w:pPr>
            <w:r>
              <w:t xml:space="preserve">$15,000</w:t>
            </w:r>
          </w:p>
        </w:tc>
        <w:tc>
          <w:tcPr/>
          <w:p>
            <w:pPr>
              <w:pStyle w:val="Compact"/>
              <w:jc w:val="left"/>
            </w:pPr>
            <w:r>
              <w:t xml:space="preserve">$38,500</w:t>
            </w:r>
          </w:p>
        </w:tc>
        <w:tc>
          <w:tcPr/>
          <w:p>
            <w:pPr>
              <w:pStyle w:val="Compact"/>
              <w:jc w:val="left"/>
            </w:pPr>
            <w:r>
              <w:t xml:space="preserve">$53,500</w:t>
            </w:r>
          </w:p>
        </w:tc>
        <w:tc>
          <w:tcPr/>
          <w:p>
            <w:pPr>
              <w:pStyle w:val="Compact"/>
              <w:jc w:val="left"/>
            </w:pPr>
            <w:r>
              <w:t xml:space="preserve">$80,000</w:t>
            </w:r>
          </w:p>
        </w:tc>
        <w:tc>
          <w:tcPr/>
          <w:p>
            <w:pPr>
              <w:pStyle w:val="Compact"/>
              <w:jc w:val="left"/>
            </w:pPr>
            <w:r>
              <w:t xml:space="preserve">-$26,500</w:t>
            </w:r>
          </w:p>
        </w:tc>
      </w:tr>
      <w:tr>
        <w:tc>
          <w:tcPr/>
          <w:p>
            <w:pPr>
              <w:pStyle w:val="Compact"/>
              <w:jc w:val="left"/>
            </w:pPr>
            <w:r>
              <w:t xml:space="preserve">$2M</w:t>
            </w:r>
          </w:p>
        </w:tc>
        <w:tc>
          <w:tcPr/>
          <w:p>
            <w:pPr>
              <w:pStyle w:val="Compact"/>
              <w:jc w:val="left"/>
            </w:pPr>
            <w:r>
              <w:t xml:space="preserve">$30,000</w:t>
            </w:r>
          </w:p>
        </w:tc>
        <w:tc>
          <w:tcPr/>
          <w:p>
            <w:pPr>
              <w:pStyle w:val="Compact"/>
              <w:jc w:val="left"/>
            </w:pPr>
            <w:r>
              <w:t xml:space="preserve">$77,000</w:t>
            </w:r>
          </w:p>
        </w:tc>
        <w:tc>
          <w:tcPr/>
          <w:p>
            <w:pPr>
              <w:pStyle w:val="Compact"/>
              <w:jc w:val="left"/>
            </w:pPr>
            <w:r>
              <w:t xml:space="preserve">$107,000</w:t>
            </w:r>
          </w:p>
        </w:tc>
        <w:tc>
          <w:tcPr/>
          <w:p>
            <w:pPr>
              <w:pStyle w:val="Compact"/>
              <w:jc w:val="left"/>
            </w:pPr>
            <w:r>
              <w:t xml:space="preserve">$85,000</w:t>
            </w:r>
          </w:p>
        </w:tc>
        <w:tc>
          <w:tcPr/>
          <w:p>
            <w:pPr>
              <w:pStyle w:val="Compact"/>
              <w:jc w:val="left"/>
            </w:pPr>
            <w:r>
              <w:t xml:space="preserve">$22,000</w:t>
            </w:r>
          </w:p>
        </w:tc>
      </w:tr>
      <w:tr>
        <w:tc>
          <w:tcPr/>
          <w:p>
            <w:pPr>
              <w:pStyle w:val="Compact"/>
              <w:jc w:val="left"/>
            </w:pPr>
            <w:r>
              <w:t xml:space="preserve">$3M</w:t>
            </w:r>
          </w:p>
        </w:tc>
        <w:tc>
          <w:tcPr/>
          <w:p>
            <w:pPr>
              <w:pStyle w:val="Compact"/>
              <w:jc w:val="left"/>
            </w:pPr>
            <w:r>
              <w:t xml:space="preserve">$45,000</w:t>
            </w:r>
          </w:p>
        </w:tc>
        <w:tc>
          <w:tcPr/>
          <w:p>
            <w:pPr>
              <w:pStyle w:val="Compact"/>
              <w:jc w:val="left"/>
            </w:pPr>
            <w:r>
              <w:t xml:space="preserve">$115,500</w:t>
            </w:r>
          </w:p>
        </w:tc>
        <w:tc>
          <w:tcPr/>
          <w:p>
            <w:pPr>
              <w:pStyle w:val="Compact"/>
              <w:jc w:val="left"/>
            </w:pPr>
            <w:r>
              <w:t xml:space="preserve">$160,500</w:t>
            </w:r>
          </w:p>
        </w:tc>
        <w:tc>
          <w:tcPr/>
          <w:p>
            <w:pPr>
              <w:pStyle w:val="Compact"/>
              <w:jc w:val="left"/>
            </w:pPr>
            <w:r>
              <w:t xml:space="preserve">$90,000</w:t>
            </w:r>
          </w:p>
        </w:tc>
        <w:tc>
          <w:tcPr/>
          <w:p>
            <w:pPr>
              <w:pStyle w:val="Compact"/>
              <w:jc w:val="left"/>
            </w:pPr>
            <w:r>
              <w:t xml:space="preserve">$70,500</w:t>
            </w:r>
          </w:p>
        </w:tc>
      </w:tr>
      <w:tr>
        <w:tc>
          <w:tcPr/>
          <w:p>
            <w:pPr>
              <w:pStyle w:val="Compact"/>
              <w:jc w:val="left"/>
            </w:pPr>
            <w:r>
              <w:t xml:space="preserve">$5M</w:t>
            </w:r>
          </w:p>
        </w:tc>
        <w:tc>
          <w:tcPr/>
          <w:p>
            <w:pPr>
              <w:pStyle w:val="Compact"/>
              <w:jc w:val="left"/>
            </w:pPr>
            <w:r>
              <w:t xml:space="preserve">$75,000</w:t>
            </w:r>
          </w:p>
        </w:tc>
        <w:tc>
          <w:tcPr/>
          <w:p>
            <w:pPr>
              <w:pStyle w:val="Compact"/>
              <w:jc w:val="left"/>
            </w:pPr>
            <w:r>
              <w:t xml:space="preserve">$192,500</w:t>
            </w:r>
          </w:p>
        </w:tc>
        <w:tc>
          <w:tcPr/>
          <w:p>
            <w:pPr>
              <w:pStyle w:val="Compact"/>
              <w:jc w:val="left"/>
            </w:pPr>
            <w:r>
              <w:t xml:space="preserve">$267,500</w:t>
            </w:r>
          </w:p>
        </w:tc>
        <w:tc>
          <w:tcPr/>
          <w:p>
            <w:pPr>
              <w:pStyle w:val="Compact"/>
              <w:jc w:val="left"/>
            </w:pPr>
            <w:r>
              <w:t xml:space="preserve">$100,000</w:t>
            </w:r>
          </w:p>
        </w:tc>
        <w:tc>
          <w:tcPr/>
          <w:p>
            <w:pPr>
              <w:pStyle w:val="Compact"/>
              <w:jc w:val="left"/>
            </w:pPr>
            <w:r>
              <w:t xml:space="preserve">$167,500</w:t>
            </w:r>
          </w:p>
        </w:tc>
      </w:tr>
      <w:tr>
        <w:tc>
          <w:tcPr/>
          <w:p>
            <w:pPr>
              <w:pStyle w:val="Compact"/>
              <w:jc w:val="left"/>
            </w:pPr>
            <w:r>
              <w:t xml:space="preserve">$10M</w:t>
            </w:r>
          </w:p>
        </w:tc>
        <w:tc>
          <w:tcPr/>
          <w:p>
            <w:pPr>
              <w:pStyle w:val="Compact"/>
              <w:jc w:val="left"/>
            </w:pPr>
            <w:r>
              <w:t xml:space="preserve">$150,000</w:t>
            </w:r>
          </w:p>
        </w:tc>
        <w:tc>
          <w:tcPr/>
          <w:p>
            <w:pPr>
              <w:pStyle w:val="Compact"/>
              <w:jc w:val="left"/>
            </w:pPr>
            <w:r>
              <w:t xml:space="preserve">$385,000</w:t>
            </w:r>
          </w:p>
        </w:tc>
        <w:tc>
          <w:tcPr/>
          <w:p>
            <w:pPr>
              <w:pStyle w:val="Compact"/>
              <w:jc w:val="left"/>
            </w:pPr>
            <w:r>
              <w:t xml:space="preserve">$535,000</w:t>
            </w:r>
          </w:p>
        </w:tc>
        <w:tc>
          <w:tcPr/>
          <w:p>
            <w:pPr>
              <w:pStyle w:val="Compact"/>
              <w:jc w:val="left"/>
            </w:pPr>
            <w:r>
              <w:t xml:space="preserve">$120,000</w:t>
            </w:r>
          </w:p>
        </w:tc>
        <w:tc>
          <w:tcPr/>
          <w:p>
            <w:pPr>
              <w:pStyle w:val="Compact"/>
              <w:jc w:val="left"/>
            </w:pPr>
            <w:r>
              <w:t xml:space="preserve">$415,000</w:t>
            </w:r>
          </w:p>
        </w:tc>
      </w:tr>
      <w:tr>
        <w:tc>
          <w:tcPr/>
          <w:p>
            <w:pPr>
              <w:pStyle w:val="Compact"/>
              <w:jc w:val="left"/>
            </w:pPr>
            <w:r>
              <w:t xml:space="preserve">$25M</w:t>
            </w:r>
          </w:p>
        </w:tc>
        <w:tc>
          <w:tcPr/>
          <w:p>
            <w:pPr>
              <w:pStyle w:val="Compact"/>
              <w:jc w:val="left"/>
            </w:pPr>
            <w:r>
              <w:t xml:space="preserve">$375,000</w:t>
            </w:r>
          </w:p>
        </w:tc>
        <w:tc>
          <w:tcPr/>
          <w:p>
            <w:pPr>
              <w:pStyle w:val="Compact"/>
              <w:jc w:val="left"/>
            </w:pPr>
            <w:r>
              <w:t xml:space="preserve">$962,500</w:t>
            </w:r>
          </w:p>
        </w:tc>
        <w:tc>
          <w:tcPr/>
          <w:p>
            <w:pPr>
              <w:pStyle w:val="Compact"/>
              <w:jc w:val="left"/>
            </w:pPr>
            <w:r>
              <w:t xml:space="preserve">$1,337,500</w:t>
            </w:r>
          </w:p>
        </w:tc>
        <w:tc>
          <w:tcPr/>
          <w:p>
            <w:pPr>
              <w:pStyle w:val="Compact"/>
              <w:jc w:val="left"/>
            </w:pPr>
            <w:r>
              <w:t xml:space="preserve">$150,000</w:t>
            </w:r>
          </w:p>
        </w:tc>
        <w:tc>
          <w:tcPr/>
          <w:p>
            <w:pPr>
              <w:pStyle w:val="Compact"/>
              <w:jc w:val="left"/>
            </w:pPr>
            <w:r>
              <w:t xml:space="preserve">$1,187,500</w:t>
            </w:r>
          </w:p>
        </w:tc>
      </w:tr>
    </w:tbl>
    <w:bookmarkEnd w:id="40"/>
    <w:bookmarkStart w:id="41" w:name="legal-structure-progression"/>
    <w:p>
      <w:pPr>
        <w:pStyle w:val="Heading2"/>
      </w:pPr>
      <w:r>
        <w:t xml:space="preserve">Legal structure progression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Trigger</w:t>
            </w:r>
          </w:p>
        </w:tc>
        <w:tc>
          <w:tcPr/>
          <w:p>
            <w:pPr>
              <w:pStyle w:val="Compact"/>
              <w:jc w:val="left"/>
            </w:pPr>
            <w:r>
              <w:t xml:space="preserve">Cost</w:t>
            </w:r>
          </w:p>
        </w:tc>
        <w:tc>
          <w:tcPr/>
          <w:p>
            <w:pPr>
              <w:pStyle w:val="Compact"/>
              <w:jc w:val="left"/>
            </w:pPr>
            <w:r>
              <w:t xml:space="preserve">Timeline</w:t>
            </w:r>
          </w:p>
        </w:tc>
      </w:tr>
      <w:tr>
        <w:tc>
          <w:tcPr/>
          <w:p>
            <w:pPr>
              <w:pStyle w:val="Compact"/>
              <w:jc w:val="left"/>
            </w:pPr>
            <w:r>
              <w:t xml:space="preserve">Personal Account</w:t>
            </w:r>
          </w:p>
        </w:tc>
        <w:tc>
          <w:tcPr/>
          <w:p>
            <w:pPr>
              <w:pStyle w:val="Compact"/>
              <w:jc w:val="left"/>
            </w:pPr>
            <w:r>
              <w:t xml:space="preserve">Immediate</w:t>
            </w:r>
          </w:p>
        </w:tc>
        <w:tc>
          <w:tcPr/>
          <w:p>
            <w:pPr>
              <w:pStyle w:val="Compact"/>
              <w:jc w:val="left"/>
            </w:pPr>
            <w:r>
              <w:t xml:space="preserve">$0</w:t>
            </w:r>
          </w:p>
        </w:tc>
        <w:tc>
          <w:tcPr/>
          <w:p>
            <w:pPr>
              <w:pStyle w:val="Compact"/>
              <w:jc w:val="left"/>
            </w:pPr>
            <w:r>
              <w:t xml:space="preserve">Now</w:t>
            </w:r>
          </w:p>
        </w:tc>
      </w:tr>
      <w:tr>
        <w:tc>
          <w:tcPr/>
          <w:p>
            <w:pPr>
              <w:pStyle w:val="Compact"/>
              <w:jc w:val="left"/>
            </w:pPr>
            <w:r>
              <w:t xml:space="preserve">Wyoming Trading LLC</w:t>
            </w:r>
          </w:p>
        </w:tc>
        <w:tc>
          <w:tcPr/>
          <w:p>
            <w:pPr>
              <w:pStyle w:val="Compact"/>
              <w:jc w:val="left"/>
            </w:pPr>
            <w:r>
              <w:t xml:space="preserve">Phase 2 go-live</w:t>
            </w:r>
          </w:p>
        </w:tc>
        <w:tc>
          <w:tcPr/>
          <w:p>
            <w:pPr>
              <w:pStyle w:val="Compact"/>
              <w:jc w:val="left"/>
            </w:pPr>
            <w:r>
              <w:t xml:space="preserve">$160 filing + $60/yr</w:t>
            </w:r>
          </w:p>
        </w:tc>
        <w:tc>
          <w:tcPr/>
          <w:p>
            <w:pPr>
              <w:pStyle w:val="Compact"/>
              <w:jc w:val="left"/>
            </w:pPr>
            <w:r>
              <w:t xml:space="preserve">1–2 weeks</w:t>
            </w:r>
          </w:p>
        </w:tc>
      </w:tr>
      <w:tr>
        <w:tc>
          <w:tcPr/>
          <w:p>
            <w:pPr>
              <w:pStyle w:val="Compact"/>
              <w:jc w:val="left"/>
            </w:pPr>
            <w:r>
              <w:t xml:space="preserve">Section 475 MTM Election</w:t>
            </w:r>
          </w:p>
        </w:tc>
        <w:tc>
          <w:tcPr/>
          <w:p>
            <w:pPr>
              <w:pStyle w:val="Compact"/>
              <w:jc w:val="left"/>
            </w:pPr>
            <w:r>
              <w:t xml:space="preserve">Within 75 days of LLC formation</w:t>
            </w:r>
          </w:p>
        </w:tc>
        <w:tc>
          <w:tcPr/>
          <w:p>
            <w:pPr>
              <w:pStyle w:val="Compact"/>
              <w:jc w:val="left"/>
            </w:pPr>
            <w:r>
              <w:t xml:space="preserve">$0 (included in tax filing)</w:t>
            </w:r>
          </w:p>
        </w:tc>
        <w:tc>
          <w:tcPr/>
          <w:p>
            <w:pPr>
              <w:pStyle w:val="Compact"/>
              <w:jc w:val="left"/>
            </w:pPr>
            <w:r>
              <w:t xml:space="preserve">Must file by deadline</w:t>
            </w:r>
          </w:p>
        </w:tc>
      </w:tr>
      <w:tr>
        <w:tc>
          <w:tcPr/>
          <w:p>
            <w:pPr>
              <w:pStyle w:val="Compact"/>
              <w:jc w:val="left"/>
            </w:pPr>
            <w:r>
              <w:t xml:space="preserve">Incubator Fund</w:t>
            </w:r>
          </w:p>
        </w:tc>
        <w:tc>
          <w:tcPr/>
          <w:p>
            <w:pPr>
              <w:pStyle w:val="Compact"/>
              <w:jc w:val="left"/>
            </w:pPr>
            <w:r>
              <w:t xml:space="preserve">12-month live track record</w:t>
            </w:r>
          </w:p>
        </w:tc>
        <w:tc>
          <w:tcPr/>
          <w:p>
            <w:pPr>
              <w:pStyle w:val="Compact"/>
              <w:jc w:val="left"/>
            </w:pPr>
            <w:r>
              <w:t xml:space="preserve">$2,500–$5,000</w:t>
            </w:r>
          </w:p>
        </w:tc>
        <w:tc>
          <w:tcPr/>
          <w:p>
            <w:pPr>
              <w:pStyle w:val="Compact"/>
              <w:jc w:val="left"/>
            </w:pPr>
            <w:r>
              <w:t xml:space="preserve">2–4 weeks</w:t>
            </w:r>
          </w:p>
        </w:tc>
      </w:tr>
      <w:tr>
        <w:tc>
          <w:tcPr/>
          <w:p>
            <w:pPr>
              <w:pStyle w:val="Compact"/>
              <w:jc w:val="left"/>
            </w:pPr>
            <w:r>
              <w:t xml:space="preserve">Full Private Fund (ERA)</w:t>
            </w:r>
          </w:p>
        </w:tc>
        <w:tc>
          <w:tcPr/>
          <w:p>
            <w:pPr>
              <w:pStyle w:val="Compact"/>
              <w:jc w:val="left"/>
            </w:pPr>
            <w:r>
              <w:t xml:space="preserve">External capital ready</w:t>
            </w:r>
          </w:p>
        </w:tc>
        <w:tc>
          <w:tcPr/>
          <w:p>
            <w:pPr>
              <w:pStyle w:val="Compact"/>
              <w:jc w:val="left"/>
            </w:pPr>
            <w:r>
              <w:t xml:space="preserve">$15K–$50K setup + $60K–$100K/yr</w:t>
            </w:r>
          </w:p>
        </w:tc>
        <w:tc>
          <w:tcPr/>
          <w:p>
            <w:pPr>
              <w:pStyle w:val="Compact"/>
              <w:jc w:val="left"/>
            </w:pPr>
            <w:r>
              <w:t xml:space="preserve">1–3 months</w:t>
            </w:r>
          </w:p>
        </w:tc>
      </w:tr>
      <w:tr>
        <w:tc>
          <w:tcPr/>
          <w:p>
            <w:pPr>
              <w:pStyle w:val="Compact"/>
              <w:jc w:val="left"/>
            </w:pPr>
            <w:r>
              <w:t xml:space="preserve">SEC Registered RIA</w:t>
            </w:r>
          </w:p>
        </w:tc>
        <w:tc>
          <w:tcPr/>
          <w:p>
            <w:pPr>
              <w:pStyle w:val="Compact"/>
              <w:jc w:val="left"/>
            </w:pPr>
            <w:r>
              <w:t xml:space="preserve">$150M+ AUM</w:t>
            </w:r>
          </w:p>
        </w:tc>
        <w:tc>
          <w:tcPr/>
          <w:p>
            <w:pPr>
              <w:pStyle w:val="Compact"/>
              <w:jc w:val="left"/>
            </w:pPr>
            <w:r>
              <w:t xml:space="preserve">$100K–$300K/yr compliance</w:t>
            </w:r>
          </w:p>
        </w:tc>
        <w:tc>
          <w:tcPr/>
          <w:p>
            <w:pPr>
              <w:pStyle w:val="Compact"/>
              <w:jc w:val="left"/>
            </w:pPr>
            <w:r>
              <w:t xml:space="preserve">45-day approval</w:t>
            </w:r>
          </w:p>
        </w:tc>
      </w:tr>
    </w:tbl>
    <w:p>
      <w:pPr>
        <w:pStyle w:val="BodyText"/>
      </w:pPr>
      <w:r>
        <w:rPr>
          <w:bCs/>
          <w:b/>
        </w:rPr>
        <w:t xml:space="preserve">Fund break-even</w:t>
      </w:r>
      <w:r>
        <w:t xml:space="preserve">: ~$2M AUM covers lean operating costs. Manager compensation exceeds median salary at ~$5M AUM. Strategy capacity ($500M–$1B+) makes this a non-issue for growth.</w:t>
      </w:r>
    </w:p>
    <w:bookmarkEnd w:id="41"/>
    <w:bookmarkStart w:id="42" w:name="are-the-sharpe-assumptions-realistic"/>
    <w:p>
      <w:pPr>
        <w:pStyle w:val="Heading2"/>
      </w:pPr>
      <w:r>
        <w:t xml:space="preserve">Are the Sharpe assumptions realistic?</w:t>
      </w:r>
    </w:p>
    <w:p>
      <w:pPr>
        <w:pStyle w:val="FirstParagraph"/>
      </w:pPr>
      <w:r>
        <w:t xml:space="preserve">The base-case Sharpe of 1.5 is ambitious but within the range of published results for similar strategies. Trading-R1 achieved 2.72 Sharpe on individual names. Moskowitz, Ooi, and Pedersen (2012) documented time-series momentum Sharpe ratios of 1.0–1.5 across asset classes. The industry average hedge fund Sharpe is 0.86 (HFR data, 2015–2024). A Sharpe of 1.5 would place Halcyon Lab in the top quartile of systematic equity strategies. A Sharpe of 1.0—the conservative scenario—is a more defensible planning assumption for investor conversations and represents above-average but not exceptional performance.</w:t>
      </w:r>
    </w:p>
    <w:p>
      <w:pPr>
        <w:pStyle w:val="BodyText"/>
      </w:pPr>
      <w:r>
        <w:t xml:space="preserve">If Sharpe is only 0.7, the system remains viable but the timeline to fund-level economics extends by 2–3 years, and the capital required for self-sustaining operations roughly doubles to $4–5M AUM.</w:t>
      </w:r>
    </w:p>
    <w:bookmarkEnd w:id="42"/>
    <w:bookmarkEnd w:id="43"/>
    <w:bookmarkStart w:id="46" w:name="competitive-landscape-moat-analysis"/>
    <w:p>
      <w:pPr>
        <w:pStyle w:val="Heading1"/>
      </w:pPr>
      <w:r>
        <w:t xml:space="preserve">7. Competitive Landscape &amp; Moat Analysis</w:t>
      </w:r>
    </w:p>
    <w:bookmarkStart w:id="44" w:name="market-positioning"/>
    <w:p>
      <w:pPr>
        <w:pStyle w:val="Heading2"/>
      </w:pPr>
      <w:r>
        <w:t xml:space="preserve">Market positioning</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Competitor</w:t>
            </w:r>
          </w:p>
        </w:tc>
        <w:tc>
          <w:tcPr/>
          <w:p>
            <w:pPr>
              <w:pStyle w:val="Compact"/>
              <w:jc w:val="left"/>
            </w:pPr>
            <w:r>
              <w:t xml:space="preserve">Target</w:t>
            </w:r>
          </w:p>
        </w:tc>
        <w:tc>
          <w:tcPr/>
          <w:p>
            <w:pPr>
              <w:pStyle w:val="Compact"/>
              <w:jc w:val="left"/>
            </w:pPr>
            <w:r>
              <w:t xml:space="preserve">Price</w:t>
            </w:r>
          </w:p>
        </w:tc>
        <w:tc>
          <w:tcPr/>
          <w:p>
            <w:pPr>
              <w:pStyle w:val="Compact"/>
              <w:jc w:val="left"/>
            </w:pPr>
            <w:r>
              <w:t xml:space="preserve">Edge</w:t>
            </w:r>
          </w:p>
        </w:tc>
        <w:tc>
          <w:tcPr/>
          <w:p>
            <w:pPr>
              <w:pStyle w:val="Compact"/>
              <w:jc w:val="left"/>
            </w:pPr>
            <w:r>
              <w:t xml:space="preserve">Halcyon Difference</w:t>
            </w:r>
          </w:p>
        </w:tc>
      </w:tr>
      <w:tr>
        <w:tc>
          <w:tcPr/>
          <w:p>
            <w:pPr>
              <w:pStyle w:val="Compact"/>
              <w:jc w:val="left"/>
            </w:pPr>
            <w:r>
              <w:t xml:space="preserve">Bloomberg Terminal</w:t>
            </w:r>
          </w:p>
        </w:tc>
        <w:tc>
          <w:tcPr/>
          <w:p>
            <w:pPr>
              <w:pStyle w:val="Compact"/>
              <w:jc w:val="left"/>
            </w:pPr>
            <w:r>
              <w:t xml:space="preserve">Institutional</w:t>
            </w:r>
          </w:p>
        </w:tc>
        <w:tc>
          <w:tcPr/>
          <w:p>
            <w:pPr>
              <w:pStyle w:val="Compact"/>
              <w:jc w:val="left"/>
            </w:pPr>
            <w:r>
              <w:t xml:space="preserve">$25,000/yr</w:t>
            </w:r>
          </w:p>
        </w:tc>
        <w:tc>
          <w:tcPr/>
          <w:p>
            <w:pPr>
              <w:pStyle w:val="Compact"/>
              <w:jc w:val="left"/>
            </w:pPr>
            <w:r>
              <w:t xml:space="preserve">Data breadth, network effects</w:t>
            </w:r>
          </w:p>
        </w:tc>
        <w:tc>
          <w:tcPr/>
          <w:p>
            <w:pPr>
              <w:pStyle w:val="Compact"/>
              <w:jc w:val="left"/>
            </w:pPr>
            <w:r>
              <w:t xml:space="preserve">500× cheaper; AI-native from day one</w:t>
            </w:r>
          </w:p>
        </w:tc>
      </w:tr>
      <w:tr>
        <w:tc>
          <w:tcPr/>
          <w:p>
            <w:pPr>
              <w:pStyle w:val="Compact"/>
              <w:jc w:val="left"/>
            </w:pPr>
            <w:r>
              <w:t xml:space="preserve">Kensho (S&amp;P Global)</w:t>
            </w:r>
          </w:p>
        </w:tc>
        <w:tc>
          <w:tcPr/>
          <w:p>
            <w:pPr>
              <w:pStyle w:val="Compact"/>
              <w:jc w:val="left"/>
            </w:pPr>
            <w:r>
              <w:t xml:space="preserve">Institutional</w:t>
            </w:r>
          </w:p>
        </w:tc>
        <w:tc>
          <w:tcPr/>
          <w:p>
            <w:pPr>
              <w:pStyle w:val="Compact"/>
              <w:jc w:val="left"/>
            </w:pPr>
            <w:r>
              <w:t xml:space="preserve">Bundled with Capital IQ Pro</w:t>
            </w:r>
          </w:p>
        </w:tc>
        <w:tc>
          <w:tcPr/>
          <w:p>
            <w:pPr>
              <w:pStyle w:val="Compact"/>
              <w:jc w:val="left"/>
            </w:pPr>
            <w:r>
              <w:t xml:space="preserve">$550M acquisition; NLP analytics</w:t>
            </w:r>
          </w:p>
        </w:tc>
        <w:tc>
          <w:tcPr/>
          <w:p>
            <w:pPr>
              <w:pStyle w:val="Compact"/>
              <w:jc w:val="left"/>
            </w:pPr>
            <w:r>
              <w:t xml:space="preserve">Proprietary training flywheel; outcome-verified</w:t>
            </w:r>
          </w:p>
        </w:tc>
      </w:tr>
      <w:tr>
        <w:tc>
          <w:tcPr/>
          <w:p>
            <w:pPr>
              <w:pStyle w:val="Compact"/>
              <w:jc w:val="left"/>
            </w:pPr>
            <w:r>
              <w:t xml:space="preserve">QuantConnect</w:t>
            </w:r>
          </w:p>
        </w:tc>
        <w:tc>
          <w:tcPr/>
          <w:p>
            <w:pPr>
              <w:pStyle w:val="Compact"/>
              <w:jc w:val="left"/>
            </w:pPr>
            <w:r>
              <w:t xml:space="preserve">Retail quant</w:t>
            </w:r>
          </w:p>
        </w:tc>
        <w:tc>
          <w:tcPr/>
          <w:p>
            <w:pPr>
              <w:pStyle w:val="Compact"/>
              <w:jc w:val="left"/>
            </w:pPr>
            <w:r>
              <w:t xml:space="preserve">Free–$240/yr</w:t>
            </w:r>
          </w:p>
        </w:tc>
        <w:tc>
          <w:tcPr/>
          <w:p>
            <w:pPr>
              <w:pStyle w:val="Compact"/>
              <w:jc w:val="left"/>
            </w:pPr>
            <w:r>
              <w:t xml:space="preserve">Open-source platform, crowdsourced</w:t>
            </w:r>
          </w:p>
        </w:tc>
        <w:tc>
          <w:tcPr/>
          <w:p>
            <w:pPr>
              <w:pStyle w:val="Compact"/>
              <w:jc w:val="left"/>
            </w:pPr>
            <w:r>
              <w:t xml:space="preserve">Integrated AI analysis, not just backtesting</w:t>
            </w:r>
          </w:p>
        </w:tc>
      </w:tr>
      <w:tr>
        <w:tc>
          <w:tcPr/>
          <w:p>
            <w:pPr>
              <w:pStyle w:val="Compact"/>
              <w:jc w:val="left"/>
            </w:pPr>
            <w:r>
              <w:t xml:space="preserve">Motley Fool / Zacks</w:t>
            </w:r>
          </w:p>
        </w:tc>
        <w:tc>
          <w:tcPr/>
          <w:p>
            <w:pPr>
              <w:pStyle w:val="Compact"/>
              <w:jc w:val="left"/>
            </w:pPr>
            <w:r>
              <w:t xml:space="preserve">Retail investor</w:t>
            </w:r>
          </w:p>
        </w:tc>
        <w:tc>
          <w:tcPr/>
          <w:p>
            <w:pPr>
              <w:pStyle w:val="Compact"/>
              <w:jc w:val="left"/>
            </w:pPr>
            <w:r>
              <w:t xml:space="preserve">$199–$999/yr</w:t>
            </w:r>
          </w:p>
        </w:tc>
        <w:tc>
          <w:tcPr/>
          <w:p>
            <w:pPr>
              <w:pStyle w:val="Compact"/>
              <w:jc w:val="left"/>
            </w:pPr>
            <w:r>
              <w:t xml:space="preserve">Brand, scale, history</w:t>
            </w:r>
          </w:p>
        </w:tc>
        <w:tc>
          <w:tcPr/>
          <w:p>
            <w:pPr>
              <w:pStyle w:val="Compact"/>
              <w:jc w:val="left"/>
            </w:pPr>
            <w:r>
              <w:t xml:space="preserve">AI-generated vs. human-written; systematically improvable</w:t>
            </w:r>
          </w:p>
        </w:tc>
      </w:tr>
      <w:tr>
        <w:tc>
          <w:tcPr/>
          <w:p>
            <w:pPr>
              <w:pStyle w:val="Compact"/>
              <w:jc w:val="left"/>
            </w:pPr>
            <w:r>
              <w:t xml:space="preserve">Trade Ideas</w:t>
            </w:r>
          </w:p>
        </w:tc>
        <w:tc>
          <w:tcPr/>
          <w:p>
            <w:pPr>
              <w:pStyle w:val="Compact"/>
              <w:jc w:val="left"/>
            </w:pPr>
            <w:r>
              <w:t xml:space="preserve">Active trader</w:t>
            </w:r>
          </w:p>
        </w:tc>
        <w:tc>
          <w:tcPr/>
          <w:p>
            <w:pPr>
              <w:pStyle w:val="Compact"/>
              <w:jc w:val="left"/>
            </w:pPr>
            <w:r>
              <w:t xml:space="preserve">$127–$254/mo</w:t>
            </w:r>
          </w:p>
        </w:tc>
        <w:tc>
          <w:tcPr/>
          <w:p>
            <w:pPr>
              <w:pStyle w:val="Compact"/>
              <w:jc w:val="left"/>
            </w:pPr>
            <w:r>
              <w:t xml:space="preserve">Real-time scanning, Holly AI</w:t>
            </w:r>
          </w:p>
        </w:tc>
        <w:tc>
          <w:tcPr/>
          <w:p>
            <w:pPr>
              <w:pStyle w:val="Compact"/>
              <w:jc w:val="left"/>
            </w:pPr>
            <w:r>
              <w:t xml:space="preserve">Pullback-specific; model improves with outcomes</w:t>
            </w:r>
          </w:p>
        </w:tc>
      </w:tr>
      <w:tr>
        <w:tc>
          <w:tcPr/>
          <w:p>
            <w:pPr>
              <w:pStyle w:val="Compact"/>
              <w:jc w:val="left"/>
            </w:pPr>
            <w:r>
              <w:t xml:space="preserve">FTMO / Prop firms</w:t>
            </w:r>
          </w:p>
        </w:tc>
        <w:tc>
          <w:tcPr/>
          <w:p>
            <w:pPr>
              <w:pStyle w:val="Compact"/>
              <w:jc w:val="left"/>
            </w:pPr>
            <w:r>
              <w:t xml:space="preserve">Funded traders</w:t>
            </w:r>
          </w:p>
        </w:tc>
        <w:tc>
          <w:tcPr/>
          <w:p>
            <w:pPr>
              <w:pStyle w:val="Compact"/>
              <w:jc w:val="left"/>
            </w:pPr>
            <w:r>
              <w:t xml:space="preserve">Challenge fees</w:t>
            </w:r>
          </w:p>
        </w:tc>
        <w:tc>
          <w:tcPr/>
          <w:p>
            <w:pPr>
              <w:pStyle w:val="Compact"/>
              <w:jc w:val="left"/>
            </w:pPr>
            <w:r>
              <w:t xml:space="preserve">Simulated capital</w:t>
            </w:r>
          </w:p>
        </w:tc>
        <w:tc>
          <w:tcPr/>
          <w:p>
            <w:pPr>
              <w:pStyle w:val="Compact"/>
              <w:jc w:val="left"/>
            </w:pPr>
            <w:r>
              <w:t xml:space="preserve">Real capital, real track record, scalable to fund</w:t>
            </w:r>
          </w:p>
        </w:tc>
      </w:tr>
    </w:tbl>
    <w:bookmarkEnd w:id="44"/>
    <w:bookmarkStart w:id="45" w:name="the-data-moat-hagius-7-factor-analysis"/>
    <w:p>
      <w:pPr>
        <w:pStyle w:val="Heading2"/>
      </w:pPr>
      <w:r>
        <w:t xml:space="preserve">The data moat: Hagiu’s 7-factor analysis</w:t>
      </w:r>
    </w:p>
    <w:p>
      <w:pPr>
        <w:pStyle w:val="FirstParagraph"/>
      </w:pPr>
      <w:r>
        <w:t xml:space="preserve">Hagiu and Wright (2020, HBR; 2023, RAND Journal of Economics) identify seven factors determining data moat durability. Applied to Halcyon Lab:</w:t>
      </w:r>
    </w:p>
    <w:p>
      <w:pPr>
        <w:numPr>
          <w:ilvl w:val="0"/>
          <w:numId w:val="1005"/>
        </w:numPr>
        <w:pStyle w:val="Compact"/>
      </w:pPr>
      <w:r>
        <w:rPr>
          <w:bCs/>
          <w:b/>
        </w:rPr>
        <w:t xml:space="preserve">Data volume vs. learning curve</w:t>
      </w:r>
      <w:r>
        <w:t xml:space="preserve">: Financial AI learning curves are steep initially but do not plateau quickly because market regimes change—a model trained only on bull markets fails in bear markets. Each new regime encountered creates irreplaceable training data.</w:t>
      </w:r>
      <w:r>
        <w:t xml:space="preserve"> </w:t>
      </w:r>
      <w:r>
        <w:rPr>
          <w:bCs/>
          <w:b/>
        </w:rPr>
        <w:t xml:space="preserve">Advantage: Moderate-High.</w:t>
      </w:r>
    </w:p>
    <w:p>
      <w:pPr>
        <w:numPr>
          <w:ilvl w:val="0"/>
          <w:numId w:val="1005"/>
        </w:numPr>
        <w:pStyle w:val="Compact"/>
      </w:pPr>
      <w:r>
        <w:rPr>
          <w:bCs/>
          <w:b/>
        </w:rPr>
        <w:t xml:space="preserve">Data depreciation rate</w:t>
      </w:r>
      <w:r>
        <w:t xml:space="preserve">: Financial data depreciates slowly for regime-level patterns (bull/bear/transition dynamics persist across decades) but quickly for specific price levels. The training data captures reasoning patterns, not price levels, giving it a slow depreciation rate.</w:t>
      </w:r>
      <w:r>
        <w:t xml:space="preserve"> </w:t>
      </w:r>
      <w:r>
        <w:rPr>
          <w:bCs/>
          <w:b/>
        </w:rPr>
        <w:t xml:space="preserve">Advantage: High.</w:t>
      </w:r>
    </w:p>
    <w:p>
      <w:pPr>
        <w:numPr>
          <w:ilvl w:val="0"/>
          <w:numId w:val="1005"/>
        </w:numPr>
        <w:pStyle w:val="Compact"/>
      </w:pPr>
      <w:r>
        <w:rPr>
          <w:bCs/>
          <w:b/>
        </w:rPr>
        <w:t xml:space="preserve">Data exclusivity</w:t>
      </w:r>
      <w:r>
        <w:t xml:space="preserve">: Outcome-verified trade commentary with self-blinded reasoning is genuinely proprietary. No commercial data vendor sells it. No competitor can purchase it.</w:t>
      </w:r>
      <w:r>
        <w:t xml:space="preserve"> </w:t>
      </w:r>
      <w:r>
        <w:rPr>
          <w:bCs/>
          <w:b/>
        </w:rPr>
        <w:t xml:space="preserve">Advantage: Very High.</w:t>
      </w:r>
    </w:p>
    <w:p>
      <w:pPr>
        <w:numPr>
          <w:ilvl w:val="0"/>
          <w:numId w:val="1005"/>
        </w:numPr>
        <w:pStyle w:val="Compact"/>
      </w:pPr>
      <w:r>
        <w:rPr>
          <w:bCs/>
          <w:b/>
        </w:rPr>
        <w:t xml:space="preserve">Economies of scale in data processing</w:t>
      </w:r>
      <w:r>
        <w:t xml:space="preserve">: The marginal cost of scoring one additional training example is near zero (model already loaded in VRAM via between-scan scoring).</w:t>
      </w:r>
      <w:r>
        <w:t xml:space="preserve"> </w:t>
      </w:r>
      <w:r>
        <w:rPr>
          <w:bCs/>
          <w:b/>
        </w:rPr>
        <w:t xml:space="preserve">Advantage: High.</w:t>
      </w:r>
    </w:p>
    <w:p>
      <w:pPr>
        <w:numPr>
          <w:ilvl w:val="0"/>
          <w:numId w:val="1005"/>
        </w:numPr>
        <w:pStyle w:val="Compact"/>
      </w:pPr>
      <w:r>
        <w:rPr>
          <w:bCs/>
          <w:b/>
        </w:rPr>
        <w:t xml:space="preserve">Data network effects</w:t>
      </w:r>
      <w:r>
        <w:t xml:space="preserve">: Limited for a solo trading system—there is no user-generated data feedback loop. This is the weakest factor.</w:t>
      </w:r>
      <w:r>
        <w:t xml:space="preserve"> </w:t>
      </w:r>
      <w:r>
        <w:rPr>
          <w:bCs/>
          <w:b/>
        </w:rPr>
        <w:t xml:space="preserve">Advantage: Low.</w:t>
      </w:r>
    </w:p>
    <w:p>
      <w:pPr>
        <w:numPr>
          <w:ilvl w:val="0"/>
          <w:numId w:val="1005"/>
        </w:numPr>
        <w:pStyle w:val="Compact"/>
      </w:pPr>
      <w:r>
        <w:rPr>
          <w:bCs/>
          <w:b/>
        </w:rPr>
        <w:t xml:space="preserve">Switching costs from data</w:t>
      </w:r>
      <w:r>
        <w:t xml:space="preserve">: The model’s analytical vocabulary is trained on proprietary features (50+ custom indicators). A competitor would need to replicate the entire feature pipeline, not just the model weights.</w:t>
      </w:r>
      <w:r>
        <w:t xml:space="preserve"> </w:t>
      </w:r>
      <w:r>
        <w:rPr>
          <w:bCs/>
          <w:b/>
        </w:rPr>
        <w:t xml:space="preserve">Advantage: Moderate.</w:t>
      </w:r>
    </w:p>
    <w:p>
      <w:pPr>
        <w:numPr>
          <w:ilvl w:val="0"/>
          <w:numId w:val="1005"/>
        </w:numPr>
        <w:pStyle w:val="Compact"/>
      </w:pPr>
      <w:r>
        <w:rPr>
          <w:bCs/>
          <w:b/>
        </w:rPr>
        <w:t xml:space="preserve">Imitability of insights</w:t>
      </w:r>
      <w:r>
        <w:t xml:space="preserve">: Individual trade signals can be reverse-engineered from published results. But the reasoning quality embedded in the training data—what distinguishes a recoverable pullback from a trend breakdown—is not observable from trade signals alone.</w:t>
      </w:r>
      <w:r>
        <w:t xml:space="preserve"> </w:t>
      </w:r>
      <w:r>
        <w:rPr>
          <w:bCs/>
          <w:b/>
        </w:rPr>
        <w:t xml:space="preserve">Advantage: Moderate-High.</w:t>
      </w:r>
    </w:p>
    <w:p>
      <w:pPr>
        <w:pStyle w:val="FirstParagraph"/>
      </w:pPr>
      <w:r>
        <w:rPr>
          <w:bCs/>
          <w:b/>
        </w:rPr>
        <w:t xml:space="preserve">Overall moat assessment</w:t>
      </w:r>
      <w:r>
        <w:t xml:space="preserve">: The data moat is real, compounding, and structurally defensible—but it is slow. The flywheel produces 500–2,000 trades per year, not billions of data points daily. For this specific use case, that throughput is sufficient: financial markets produce only 252 trading days per year, regime changes occur every 3–18 months, and the training data must be high-quality and outcome-verified rather than massive. The honest assessment: the moat reaches meaningful depth at 18–24 months of operation and becomes formidable at 3–5 years.</w:t>
      </w:r>
    </w:p>
    <w:bookmarkEnd w:id="45"/>
    <w:bookmarkEnd w:id="46"/>
    <w:bookmarkStart w:id="47" w:name="risk-assessment"/>
    <w:p>
      <w:pPr>
        <w:pStyle w:val="Heading1"/>
      </w:pPr>
      <w:r>
        <w:t xml:space="preserve">8. Risk Assessment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Cs/>
                <w:b/>
              </w:rPr>
              <w:t xml:space="preserve">Market risk</w:t>
            </w:r>
            <w:r>
              <w:t xml:space="preserve">: Extended bear market produces zero qualified setups</w:t>
            </w:r>
          </w:p>
        </w:tc>
        <w:tc>
          <w:tcPr/>
          <w:p>
            <w:pPr>
              <w:pStyle w:val="Compact"/>
              <w:jc w:val="left"/>
            </w:pPr>
            <w:r>
              <w:t xml:space="preserve">25% over 5 years</w:t>
            </w:r>
          </w:p>
        </w:tc>
        <w:tc>
          <w:tcPr/>
          <w:p>
            <w:pPr>
              <w:pStyle w:val="Compact"/>
              <w:jc w:val="left"/>
            </w:pPr>
            <w:r>
              <w:t xml:space="preserve">HIGH — zero revenue for months</w:t>
            </w:r>
          </w:p>
        </w:tc>
        <w:tc>
          <w:tcPr/>
          <w:p>
            <w:pPr>
              <w:pStyle w:val="Compact"/>
              <w:jc w:val="left"/>
            </w:pPr>
            <w:r>
              <w:t xml:space="preserve">Regime detection triggers PASS-heavy mode; multi-desk diversification (Momentum Desk is bearish complement); PASS examples train the model when NOT to trade</w:t>
            </w:r>
          </w:p>
        </w:tc>
      </w:tr>
      <w:tr>
        <w:tc>
          <w:tcPr/>
          <w:p>
            <w:pPr>
              <w:pStyle w:val="Compact"/>
              <w:jc w:val="left"/>
            </w:pPr>
            <w:r>
              <w:rPr>
                <w:bCs/>
                <w:b/>
              </w:rPr>
              <w:t xml:space="preserve">Technology risk</w:t>
            </w:r>
            <w:r>
              <w:t xml:space="preserve">: Single GPU, single machine, Ollama dependency</w:t>
            </w:r>
          </w:p>
        </w:tc>
        <w:tc>
          <w:tcPr/>
          <w:p>
            <w:pPr>
              <w:pStyle w:val="Compact"/>
              <w:jc w:val="left"/>
            </w:pPr>
            <w:r>
              <w:t xml:space="preserve">15%/yr for hardware failure</w:t>
            </w:r>
          </w:p>
        </w:tc>
        <w:tc>
          <w:tcPr/>
          <w:p>
            <w:pPr>
              <w:pStyle w:val="Compact"/>
              <w:jc w:val="left"/>
            </w:pPr>
            <w:r>
              <w:t xml:space="preserve">HIGH — trading halts</w:t>
            </w:r>
          </w:p>
        </w:tc>
        <w:tc>
          <w:tcPr/>
          <w:p>
            <w:pPr>
              <w:pStyle w:val="Compact"/>
              <w:jc w:val="left"/>
            </w:pPr>
            <w:r>
              <w:t xml:space="preserve">Model weight archiving (Git LFS + Backblaze B2); inference abstraction layer for Ollama/vLLM/llama.cpp swap; AGENTS.md as disaster recovery doc; spare GPU procurement plan</w:t>
            </w:r>
          </w:p>
        </w:tc>
      </w:tr>
      <w:tr>
        <w:tc>
          <w:tcPr/>
          <w:p>
            <w:pPr>
              <w:pStyle w:val="Compact"/>
              <w:jc w:val="left"/>
            </w:pPr>
            <w:r>
              <w:rPr>
                <w:bCs/>
                <w:b/>
              </w:rPr>
              <w:t xml:space="preserve">Key person risk</w:t>
            </w:r>
            <w:r>
              <w:t xml:space="preserve">: Bus factor of one</w:t>
            </w:r>
          </w:p>
        </w:tc>
        <w:tc>
          <w:tcPr/>
          <w:p>
            <w:pPr>
              <w:pStyle w:val="Compact"/>
              <w:jc w:val="left"/>
            </w:pPr>
            <w:r>
              <w:t xml:space="preserve">Ongoing</w:t>
            </w:r>
          </w:p>
        </w:tc>
        <w:tc>
          <w:tcPr/>
          <w:p>
            <w:pPr>
              <w:pStyle w:val="Compact"/>
              <w:jc w:val="left"/>
            </w:pPr>
            <w:r>
              <w:t xml:space="preserve">CRITICAL</w:t>
            </w:r>
          </w:p>
        </w:tc>
        <w:tc>
          <w:tcPr/>
          <w:p>
            <w:pPr>
              <w:pStyle w:val="Compact"/>
              <w:jc w:val="left"/>
            </w:pPr>
            <w:r>
              <w:t xml:space="preserve">363 automated tests; maximum automation (24/7 scheduler runs unattended); comprehensive documentation; key-person insurance at fund stage; hire first when AUM supports it</w:t>
            </w:r>
          </w:p>
        </w:tc>
      </w:tr>
      <w:tr>
        <w:tc>
          <w:tcPr/>
          <w:p>
            <w:pPr>
              <w:pStyle w:val="Compact"/>
              <w:jc w:val="left"/>
            </w:pPr>
            <w:r>
              <w:rPr>
                <w:bCs/>
                <w:b/>
              </w:rPr>
              <w:t xml:space="preserve">Regulatory risk</w:t>
            </w:r>
            <w:r>
              <w:t xml:space="preserve">: Publisher’s exclusion inapplicable; AI-washing enforcement</w:t>
            </w:r>
          </w:p>
        </w:tc>
        <w:tc>
          <w:tcPr/>
          <w:p>
            <w:pPr>
              <w:pStyle w:val="Compact"/>
              <w:jc w:val="left"/>
            </w:pPr>
            <w:r>
              <w:t xml:space="preserve">10%</w:t>
            </w:r>
          </w:p>
        </w:tc>
        <w:tc>
          <w:tcPr/>
          <w:p>
            <w:pPr>
              <w:pStyle w:val="Compact"/>
              <w:jc w:val="left"/>
            </w:pPr>
            <w:r>
              <w:t xml:space="preserve">HIGH — forced shutdown or penalties</w:t>
            </w:r>
          </w:p>
        </w:tc>
        <w:tc>
          <w:tcPr/>
          <w:p>
            <w:pPr>
              <w:pStyle w:val="Compact"/>
              <w:jc w:val="left"/>
            </w:pPr>
            <w:r>
              <w:t xml:space="preserve">$2K–$5K securities attorney opinion before monetization; accurate AI capability descriptions; never claim</w:t>
            </w:r>
            <w:r>
              <w:t xml:space="preserve"> </w:t>
            </w:r>
            <w:r>
              <w:t xml:space="preserve">“</w:t>
            </w:r>
            <w:r>
              <w:t xml:space="preserve">AI-driven</w:t>
            </w:r>
            <w:r>
              <w:t xml:space="preserve">”</w:t>
            </w:r>
            <w:r>
              <w:t xml:space="preserve"> </w:t>
            </w:r>
            <w:r>
              <w:t xml:space="preserve">without substantiation files; outsourced CCO at fund stage</w:t>
            </w:r>
          </w:p>
        </w:tc>
      </w:tr>
      <w:tr>
        <w:tc>
          <w:tcPr/>
          <w:p>
            <w:pPr>
              <w:pStyle w:val="Compact"/>
              <w:jc w:val="left"/>
            </w:pPr>
            <w:r>
              <w:rPr>
                <w:bCs/>
                <w:b/>
              </w:rPr>
              <w:t xml:space="preserve">Alpha decay</w:t>
            </w:r>
            <w:r>
              <w:t xml:space="preserve">: Edge erodes as strategy becomes crowded</w:t>
            </w:r>
          </w:p>
        </w:tc>
        <w:tc>
          <w:tcPr/>
          <w:p>
            <w:pPr>
              <w:pStyle w:val="Compact"/>
              <w:jc w:val="left"/>
            </w:pPr>
            <w:r>
              <w:t xml:space="preserve">30% over 5 years</w:t>
            </w:r>
          </w:p>
        </w:tc>
        <w:tc>
          <w:tcPr/>
          <w:p>
            <w:pPr>
              <w:pStyle w:val="Compact"/>
              <w:jc w:val="left"/>
            </w:pPr>
            <w:r>
              <w:t xml:space="preserve">MEDIUM</w:t>
            </w:r>
          </w:p>
        </w:tc>
        <w:tc>
          <w:tcPr/>
          <w:p>
            <w:pPr>
              <w:pStyle w:val="Compact"/>
              <w:jc w:val="left"/>
            </w:pPr>
            <w:r>
              <w:t xml:space="preserve">Continuous weekly retraining; data asset compounds faster than decay for medium-frequency strategies; new desks provide diversification; monitor win rate and expectancy for sustained decline</w:t>
            </w:r>
          </w:p>
        </w:tc>
      </w:tr>
      <w:tr>
        <w:tc>
          <w:tcPr/>
          <w:p>
            <w:pPr>
              <w:pStyle w:val="Compact"/>
              <w:jc w:val="left"/>
            </w:pPr>
            <w:r>
              <w:rPr>
                <w:bCs/>
                <w:b/>
              </w:rPr>
              <w:t xml:space="preserve">Model risk</w:t>
            </w:r>
            <w:r>
              <w:t xml:space="preserve">: Confident, systematically wrong predictions</w:t>
            </w:r>
          </w:p>
        </w:tc>
        <w:tc>
          <w:tcPr/>
          <w:p>
            <w:pPr>
              <w:pStyle w:val="Compact"/>
              <w:jc w:val="left"/>
            </w:pPr>
            <w:r>
              <w:t xml:space="preserve">20% initial period</w:t>
            </w:r>
          </w:p>
        </w:tc>
        <w:tc>
          <w:tcPr/>
          <w:p>
            <w:pPr>
              <w:pStyle w:val="Compact"/>
              <w:jc w:val="left"/>
            </w:pPr>
            <w:r>
              <w:t xml:space="preserve">MEDIUM</w:t>
            </w:r>
          </w:p>
        </w:tc>
        <w:tc>
          <w:tcPr/>
          <w:p>
            <w:pPr>
              <w:pStyle w:val="Compact"/>
              <w:jc w:val="left"/>
            </w:pPr>
            <w:r>
              <w:t xml:space="preserve">Deterministic execution means the model doesn’t set stops or targets; champion-challenger evaluation with automatic rollback; holdout scoring; confidence calibration monitoring</w:t>
            </w:r>
          </w:p>
        </w:tc>
      </w:tr>
      <w:tr>
        <w:tc>
          <w:tcPr/>
          <w:p>
            <w:pPr>
              <w:pStyle w:val="Compact"/>
              <w:jc w:val="left"/>
            </w:pPr>
            <w:r>
              <w:rPr>
                <w:bCs/>
                <w:b/>
              </w:rPr>
              <w:t xml:space="preserve">Data quality risk</w:t>
            </w:r>
            <w:r>
              <w:t xml:space="preserve">: Garbage in, garbage out</w:t>
            </w:r>
          </w:p>
        </w:tc>
        <w:tc>
          <w:tcPr/>
          <w:p>
            <w:pPr>
              <w:pStyle w:val="Compact"/>
              <w:jc w:val="left"/>
            </w:pPr>
            <w:r>
              <w:t xml:space="preserve">Ongoing</w:t>
            </w:r>
          </w:p>
        </w:tc>
        <w:tc>
          <w:tcPr/>
          <w:p>
            <w:pPr>
              <w:pStyle w:val="Compact"/>
              <w:jc w:val="left"/>
            </w:pPr>
            <w:r>
              <w:t xml:space="preserve">HIGH</w:t>
            </w:r>
          </w:p>
        </w:tc>
        <w:tc>
          <w:tcPr/>
          <w:p>
            <w:pPr>
              <w:pStyle w:val="Compact"/>
              <w:jc w:val="left"/>
            </w:pPr>
            <w:r>
              <w:t xml:space="preserve">Self-blinding pipeline structurally prevents outcome leakage; 6-dimension quality rubric with minimum score thresholds; leakage detector (TF-IDF classifier must fail at &gt;55%); golden ratio mixing prevents catastrophic forgetting</w:t>
            </w:r>
          </w:p>
        </w:tc>
      </w:tr>
      <w:tr>
        <w:tc>
          <w:tcPr/>
          <w:p>
            <w:pPr>
              <w:pStyle w:val="Compact"/>
              <w:jc w:val="left"/>
            </w:pPr>
            <w:r>
              <w:rPr>
                <w:bCs/>
                <w:b/>
              </w:rPr>
              <w:t xml:space="preserve">Opportunity cost</w:t>
            </w:r>
            <w:r>
              <w:t xml:space="preserve">: Founder’s salary forgone during build phase</w:t>
            </w:r>
          </w:p>
        </w:tc>
        <w:tc>
          <w:tcPr/>
          <w:p>
            <w:pPr>
              <w:pStyle w:val="Compact"/>
              <w:jc w:val="left"/>
            </w:pPr>
            <w:r>
              <w:t xml:space="preserve">100%</w:t>
            </w:r>
          </w:p>
        </w:tc>
        <w:tc>
          <w:tcPr/>
          <w:p>
            <w:pPr>
              <w:pStyle w:val="Compact"/>
              <w:jc w:val="left"/>
            </w:pPr>
            <w:r>
              <w:t xml:space="preserve">MEDIUM</w:t>
            </w:r>
          </w:p>
        </w:tc>
        <w:tc>
          <w:tcPr/>
          <w:p>
            <w:pPr>
              <w:pStyle w:val="Compact"/>
              <w:jc w:val="left"/>
            </w:pPr>
            <w:r>
              <w:t xml:space="preserve">System is built alongside full-time employment; fund-level income replaces salary at $5–10M AUM; worst case: marketable skills in ML/quant finance</w:t>
            </w:r>
          </w:p>
        </w:tc>
      </w:tr>
    </w:tbl>
    <w:bookmarkEnd w:id="47"/>
    <w:bookmarkStart w:id="51" w:name="kpis-success-metrics"/>
    <w:p>
      <w:pPr>
        <w:pStyle w:val="Heading1"/>
      </w:pPr>
      <w:r>
        <w:t xml:space="preserve">9. KPIs &amp; Success Metrics</w:t>
      </w:r>
    </w:p>
    <w:bookmarkStart w:id="48" w:name="X0f38d8dd5b4b0a6de3ee072ee9d8af51355e4e3"/>
    <w:p>
      <w:pPr>
        <w:pStyle w:val="Heading2"/>
      </w:pPr>
      <w:r>
        <w:t xml:space="preserve">Phase 1 gate metrics (must all be met before Phase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Rationale</w:t>
            </w:r>
          </w:p>
        </w:tc>
      </w:tr>
      <w:tr>
        <w:tc>
          <w:tcPr/>
          <w:p>
            <w:pPr>
              <w:pStyle w:val="Compact"/>
              <w:jc w:val="left"/>
            </w:pPr>
            <w:r>
              <w:t xml:space="preserve">Closed trades</w:t>
            </w:r>
          </w:p>
        </w:tc>
        <w:tc>
          <w:tcPr/>
          <w:p>
            <w:pPr>
              <w:pStyle w:val="Compact"/>
              <w:jc w:val="left"/>
            </w:pPr>
            <w:r>
              <w:t xml:space="preserve">≥50</w:t>
            </w:r>
          </w:p>
        </w:tc>
        <w:tc>
          <w:tcPr/>
          <w:p>
            <w:pPr>
              <w:pStyle w:val="Compact"/>
              <w:jc w:val="left"/>
            </w:pPr>
            <w:r>
              <w:t xml:space="preserve">Minimum for statistical significance at 80% power</w:t>
            </w:r>
          </w:p>
        </w:tc>
      </w:tr>
      <w:tr>
        <w:tc>
          <w:tcPr/>
          <w:p>
            <w:pPr>
              <w:pStyle w:val="Compact"/>
              <w:jc w:val="left"/>
            </w:pPr>
            <w:r>
              <w:t xml:space="preserve">Win rate</w:t>
            </w:r>
          </w:p>
        </w:tc>
        <w:tc>
          <w:tcPr/>
          <w:p>
            <w:pPr>
              <w:pStyle w:val="Compact"/>
              <w:jc w:val="left"/>
            </w:pPr>
            <w:r>
              <w:t xml:space="preserve">&gt;45%</w:t>
            </w:r>
          </w:p>
        </w:tc>
        <w:tc>
          <w:tcPr/>
          <w:p>
            <w:pPr>
              <w:pStyle w:val="Compact"/>
              <w:jc w:val="left"/>
            </w:pPr>
            <w:r>
              <w:t xml:space="preserve">With 2:1+ R:R, 45% win rate produces positive expectancy</w:t>
            </w:r>
          </w:p>
        </w:tc>
      </w:tr>
      <w:tr>
        <w:tc>
          <w:tcPr/>
          <w:p>
            <w:pPr>
              <w:pStyle w:val="Compact"/>
              <w:jc w:val="left"/>
            </w:pPr>
            <w:r>
              <w:t xml:space="preserve">Expectancy per trade</w:t>
            </w:r>
          </w:p>
        </w:tc>
        <w:tc>
          <w:tcPr/>
          <w:p>
            <w:pPr>
              <w:pStyle w:val="Compact"/>
              <w:jc w:val="left"/>
            </w:pPr>
            <w:r>
              <w:t xml:space="preserve">&gt;0%</w:t>
            </w:r>
          </w:p>
        </w:tc>
        <w:tc>
          <w:tcPr/>
          <w:p>
            <w:pPr>
              <w:pStyle w:val="Compact"/>
              <w:jc w:val="left"/>
            </w:pPr>
            <w:r>
              <w:t xml:space="preserve">Net positive expected value after commissions</w:t>
            </w:r>
          </w:p>
        </w:tc>
      </w:tr>
      <w:tr>
        <w:tc>
          <w:tcPr/>
          <w:p>
            <w:pPr>
              <w:pStyle w:val="Compact"/>
              <w:jc w:val="left"/>
            </w:pPr>
            <w:r>
              <w:t xml:space="preserve">Sharpe ratio (annualized)</w:t>
            </w:r>
          </w:p>
        </w:tc>
        <w:tc>
          <w:tcPr/>
          <w:p>
            <w:pPr>
              <w:pStyle w:val="Compact"/>
              <w:jc w:val="left"/>
            </w:pPr>
            <w:r>
              <w:t xml:space="preserve">&gt;0.5</w:t>
            </w:r>
          </w:p>
        </w:tc>
        <w:tc>
          <w:tcPr/>
          <w:p>
            <w:pPr>
              <w:pStyle w:val="Compact"/>
              <w:jc w:val="left"/>
            </w:pPr>
            <w:r>
              <w:t xml:space="preserve">Above random; indicates systematic edge</w:t>
            </w:r>
          </w:p>
        </w:tc>
      </w:tr>
      <w:tr>
        <w:tc>
          <w:tcPr/>
          <w:p>
            <w:pPr>
              <w:pStyle w:val="Compact"/>
              <w:jc w:val="left"/>
            </w:pPr>
            <w:r>
              <w:t xml:space="preserve">Average rubric score</w:t>
            </w:r>
          </w:p>
        </w:tc>
        <w:tc>
          <w:tcPr/>
          <w:p>
            <w:pPr>
              <w:pStyle w:val="Compact"/>
              <w:jc w:val="left"/>
            </w:pPr>
            <w:r>
              <w:t xml:space="preserve">≥3.5/5.0</w:t>
            </w:r>
          </w:p>
        </w:tc>
        <w:tc>
          <w:tcPr/>
          <w:p>
            <w:pPr>
              <w:pStyle w:val="Compact"/>
              <w:jc w:val="left"/>
            </w:pPr>
            <w:r>
              <w:t xml:space="preserve">Model produces investment-grade commentary</w:t>
            </w:r>
          </w:p>
        </w:tc>
      </w:tr>
      <w:tr>
        <w:tc>
          <w:tcPr/>
          <w:p>
            <w:pPr>
              <w:pStyle w:val="Compact"/>
              <w:jc w:val="left"/>
            </w:pPr>
            <w:r>
              <w:t xml:space="preserve">Model retrain cycles completed</w:t>
            </w:r>
          </w:p>
        </w:tc>
        <w:tc>
          <w:tcPr/>
          <w:p>
            <w:pPr>
              <w:pStyle w:val="Compact"/>
              <w:jc w:val="left"/>
            </w:pPr>
            <w:r>
              <w:t xml:space="preserve">≥1</w:t>
            </w:r>
          </w:p>
        </w:tc>
        <w:tc>
          <w:tcPr/>
          <w:p>
            <w:pPr>
              <w:pStyle w:val="Compact"/>
              <w:jc w:val="left"/>
            </w:pPr>
            <w:r>
              <w:t xml:space="preserve">End-to-end training pipeline validated</w:t>
            </w:r>
          </w:p>
        </w:tc>
      </w:tr>
    </w:tbl>
    <w:bookmarkEnd w:id="48"/>
    <w:bookmarkStart w:id="49" w:name="halcyon-system-health-score-hshs"/>
    <w:p>
      <w:pPr>
        <w:pStyle w:val="Heading2"/>
      </w:pPr>
      <w:r>
        <w:t xml:space="preserve">Halcyon System Health Score (HSHS)</w:t>
      </w:r>
    </w:p>
    <w:p>
      <w:pPr>
        <w:pStyle w:val="FirstParagraph"/>
      </w:pPr>
      <w:r>
        <w:t xml:space="preserve">HSHS = (P^w₁ × M^w₂ × D^w₃ × F^w₄ × C</w:t>
      </w:r>
      <w:r>
        <w:rPr>
          <w:vertAlign w:val="superscript"/>
        </w:rPr>
        <w:t xml:space="preserve">w₅)</w:t>
      </w:r>
      <w:r>
        <w:t xml:space="preserve">(1/Σw), where each component is normalized to 0.01–1.0:</w:t>
      </w:r>
    </w:p>
    <w:p>
      <w:pPr>
        <w:numPr>
          <w:ilvl w:val="0"/>
          <w:numId w:val="1006"/>
        </w:numPr>
        <w:pStyle w:val="Compact"/>
      </w:pPr>
      <w:r>
        <w:rPr>
          <w:bCs/>
          <w:b/>
        </w:rPr>
        <w:t xml:space="preserve">P (Performance)</w:t>
      </w:r>
      <w:r>
        <w:t xml:space="preserve">: 0.6 × norm(Sharpe) + 0.4 × norm(1/MaxDrawdown)</w:t>
      </w:r>
    </w:p>
    <w:p>
      <w:pPr>
        <w:numPr>
          <w:ilvl w:val="0"/>
          <w:numId w:val="1006"/>
        </w:numPr>
        <w:pStyle w:val="Compact"/>
      </w:pPr>
      <w:r>
        <w:rPr>
          <w:bCs/>
          <w:b/>
        </w:rPr>
        <w:t xml:space="preserve">M (Model Quality)</w:t>
      </w:r>
      <w:r>
        <w:t xml:space="preserve">: 0.4 × norm(RubricScore) + 0.3 × norm(CalibrationAccuracy) + 0.3 × norm(1/DecayRate)</w:t>
      </w:r>
    </w:p>
    <w:p>
      <w:pPr>
        <w:numPr>
          <w:ilvl w:val="0"/>
          <w:numId w:val="1006"/>
        </w:numPr>
        <w:pStyle w:val="Compact"/>
      </w:pPr>
      <w:r>
        <w:rPr>
          <w:bCs/>
          <w:b/>
        </w:rPr>
        <w:t xml:space="preserve">D (Data Asset)</w:t>
      </w:r>
      <w:r>
        <w:t xml:space="preserve">: 0.3 × norm(ProprietaryDataPct) + 0.3 × norm(log(DataVolume)) + 0.2 × norm(DataFreshness) + 0.2 × norm(SignalDimensions)</w:t>
      </w:r>
    </w:p>
    <w:p>
      <w:pPr>
        <w:numPr>
          <w:ilvl w:val="0"/>
          <w:numId w:val="1006"/>
        </w:numPr>
        <w:pStyle w:val="Compact"/>
      </w:pPr>
      <w:r>
        <w:rPr>
          <w:bCs/>
          <w:b/>
        </w:rPr>
        <w:t xml:space="preserve">F (Flywheel Velocity)</w:t>
      </w:r>
      <w:r>
        <w:t xml:space="preserve">: 0.5 × norm(1/FeedbackCycleTime) + 0.5 × norm(WeeklyDataGrowthRate)</w:t>
      </w:r>
    </w:p>
    <w:p>
      <w:pPr>
        <w:numPr>
          <w:ilvl w:val="0"/>
          <w:numId w:val="1006"/>
        </w:numPr>
        <w:pStyle w:val="Compact"/>
      </w:pPr>
      <w:r>
        <w:rPr>
          <w:bCs/>
          <w:b/>
        </w:rPr>
        <w:t xml:space="preserve">C (Competitive Defensibility)</w:t>
      </w:r>
      <w:r>
        <w:t xml:space="preserve">: 0.4 × norm(TimeToReplicate) + 0.3 × norm(IntegrationDepth) + 0.3 × norm(UniqueSignalCount)</w:t>
      </w:r>
    </w:p>
    <w:p>
      <w:pPr>
        <w:pStyle w:val="FirstParagraph"/>
      </w:pPr>
      <w:r>
        <w:t xml:space="preserve">Phase-dependent weights shift management attention appropriately: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Months 1–6</w:t>
            </w:r>
          </w:p>
        </w:tc>
        <w:tc>
          <w:tcPr/>
          <w:p>
            <w:pPr>
              <w:pStyle w:val="Compact"/>
              <w:jc w:val="left"/>
            </w:pPr>
            <w:r>
              <w:t xml:space="preserve">Months 7–18</w:t>
            </w:r>
          </w:p>
        </w:tc>
        <w:tc>
          <w:tcPr/>
          <w:p>
            <w:pPr>
              <w:pStyle w:val="Compact"/>
              <w:jc w:val="left"/>
            </w:pPr>
            <w:r>
              <w:t xml:space="preserve">Months 18+</w:t>
            </w:r>
          </w:p>
        </w:tc>
      </w:tr>
      <w:tr>
        <w:tc>
          <w:tcPr/>
          <w:p>
            <w:pPr>
              <w:pStyle w:val="Compact"/>
              <w:jc w:val="left"/>
            </w:pPr>
            <w:r>
              <w:t xml:space="preserve">Performance (w₁)</w:t>
            </w:r>
          </w:p>
        </w:tc>
        <w:tc>
          <w:tcPr/>
          <w:p>
            <w:pPr>
              <w:pStyle w:val="Compact"/>
              <w:jc w:val="left"/>
            </w:pPr>
            <w:r>
              <w:t xml:space="preserve">0.10</w:t>
            </w:r>
          </w:p>
        </w:tc>
        <w:tc>
          <w:tcPr/>
          <w:p>
            <w:pPr>
              <w:pStyle w:val="Compact"/>
              <w:jc w:val="left"/>
            </w:pPr>
            <w:r>
              <w:t xml:space="preserve">0.20</w:t>
            </w:r>
          </w:p>
        </w:tc>
        <w:tc>
          <w:tcPr/>
          <w:p>
            <w:pPr>
              <w:pStyle w:val="Compact"/>
              <w:jc w:val="left"/>
            </w:pPr>
            <w:r>
              <w:t xml:space="preserve">0.30</w:t>
            </w:r>
          </w:p>
        </w:tc>
      </w:tr>
      <w:tr>
        <w:tc>
          <w:tcPr/>
          <w:p>
            <w:pPr>
              <w:pStyle w:val="Compact"/>
              <w:jc w:val="left"/>
            </w:pPr>
            <w:r>
              <w:t xml:space="preserve">Model Quality (w₂)</w:t>
            </w:r>
          </w:p>
        </w:tc>
        <w:tc>
          <w:tcPr/>
          <w:p>
            <w:pPr>
              <w:pStyle w:val="Compact"/>
              <w:jc w:val="left"/>
            </w:pPr>
            <w:r>
              <w:t xml:space="preserve">0.25</w:t>
            </w:r>
          </w:p>
        </w:tc>
        <w:tc>
          <w:tcPr/>
          <w:p>
            <w:pPr>
              <w:pStyle w:val="Compact"/>
              <w:jc w:val="left"/>
            </w:pPr>
            <w:r>
              <w:t xml:space="preserve">0.20</w:t>
            </w:r>
          </w:p>
        </w:tc>
        <w:tc>
          <w:tcPr/>
          <w:p>
            <w:pPr>
              <w:pStyle w:val="Compact"/>
              <w:jc w:val="left"/>
            </w:pPr>
            <w:r>
              <w:t xml:space="preserve">0.15</w:t>
            </w:r>
          </w:p>
        </w:tc>
      </w:tr>
      <w:tr>
        <w:tc>
          <w:tcPr/>
          <w:p>
            <w:pPr>
              <w:pStyle w:val="Compact"/>
              <w:jc w:val="left"/>
            </w:pPr>
            <w:r>
              <w:t xml:space="preserve">Data Advantage (w₃)</w:t>
            </w:r>
          </w:p>
        </w:tc>
        <w:tc>
          <w:tcPr/>
          <w:p>
            <w:pPr>
              <w:pStyle w:val="Compact"/>
              <w:jc w:val="left"/>
            </w:pPr>
            <w:r>
              <w:rPr>
                <w:bCs/>
                <w:b/>
              </w:rPr>
              <w:t xml:space="preserve">0.35</w:t>
            </w:r>
          </w:p>
        </w:tc>
        <w:tc>
          <w:tcPr/>
          <w:p>
            <w:pPr>
              <w:pStyle w:val="Compact"/>
              <w:jc w:val="left"/>
            </w:pPr>
            <w:r>
              <w:rPr>
                <w:bCs/>
                <w:b/>
              </w:rPr>
              <w:t xml:space="preserve">0.25</w:t>
            </w:r>
          </w:p>
        </w:tc>
        <w:tc>
          <w:tcPr/>
          <w:p>
            <w:pPr>
              <w:pStyle w:val="Compact"/>
              <w:jc w:val="left"/>
            </w:pPr>
            <w:r>
              <w:t xml:space="preserve">0.20</w:t>
            </w:r>
          </w:p>
        </w:tc>
      </w:tr>
      <w:tr>
        <w:tc>
          <w:tcPr/>
          <w:p>
            <w:pPr>
              <w:pStyle w:val="Compact"/>
              <w:jc w:val="left"/>
            </w:pPr>
            <w:r>
              <w:t xml:space="preserve">Flywheel Velocity (w₄)</w:t>
            </w:r>
          </w:p>
        </w:tc>
        <w:tc>
          <w:tcPr/>
          <w:p>
            <w:pPr>
              <w:pStyle w:val="Compact"/>
              <w:jc w:val="left"/>
            </w:pPr>
            <w:r>
              <w:t xml:space="preserve">0.15</w:t>
            </w:r>
          </w:p>
        </w:tc>
        <w:tc>
          <w:tcPr/>
          <w:p>
            <w:pPr>
              <w:pStyle w:val="Compact"/>
              <w:jc w:val="left"/>
            </w:pPr>
            <w:r>
              <w:t xml:space="preserve">0.20</w:t>
            </w:r>
          </w:p>
        </w:tc>
        <w:tc>
          <w:tcPr/>
          <w:p>
            <w:pPr>
              <w:pStyle w:val="Compact"/>
              <w:jc w:val="left"/>
            </w:pPr>
            <w:r>
              <w:t xml:space="preserve">0.10</w:t>
            </w:r>
          </w:p>
        </w:tc>
      </w:tr>
      <w:tr>
        <w:tc>
          <w:tcPr/>
          <w:p>
            <w:pPr>
              <w:pStyle w:val="Compact"/>
              <w:jc w:val="left"/>
            </w:pPr>
            <w:r>
              <w:t xml:space="preserve">Defensibility (w₅)</w:t>
            </w:r>
          </w:p>
        </w:tc>
        <w:tc>
          <w:tcPr/>
          <w:p>
            <w:pPr>
              <w:pStyle w:val="Compact"/>
              <w:jc w:val="left"/>
            </w:pPr>
            <w:r>
              <w:t xml:space="preserve">0.15</w:t>
            </w:r>
          </w:p>
        </w:tc>
        <w:tc>
          <w:tcPr/>
          <w:p>
            <w:pPr>
              <w:pStyle w:val="Compact"/>
              <w:jc w:val="left"/>
            </w:pPr>
            <w:r>
              <w:t xml:space="preserve">0.15</w:t>
            </w:r>
          </w:p>
        </w:tc>
        <w:tc>
          <w:tcPr/>
          <w:p>
            <w:pPr>
              <w:pStyle w:val="Compact"/>
              <w:jc w:val="left"/>
            </w:pPr>
            <w:r>
              <w:rPr>
                <w:bCs/>
                <w:b/>
              </w:rPr>
              <w:t xml:space="preserve">0.25</w:t>
            </w:r>
          </w:p>
        </w:tc>
      </w:tr>
    </w:tbl>
    <w:bookmarkEnd w:id="49"/>
    <w:bookmarkStart w:id="50" w:name="data-asset-value-metric"/>
    <w:p>
      <w:pPr>
        <w:pStyle w:val="Heading2"/>
      </w:pPr>
      <w:r>
        <w:t xml:space="preserve">Data asset value metric</w:t>
      </w:r>
    </w:p>
    <w:p>
      <w:pPr>
        <w:pStyle w:val="FirstParagraph"/>
      </w:pPr>
      <w:r>
        <w:rPr>
          <w:bCs/>
          <w:b/>
        </w:rPr>
        <w:t xml:space="preserve">DAV = Total Scored Examples × Regime Coverage Breadth × Quality Tier Distribution</w:t>
      </w:r>
    </w:p>
    <w:p>
      <w:pPr>
        <w:pStyle w:val="BodyText"/>
      </w:pPr>
      <w:r>
        <w:t xml:space="preserve">Where Regime Coverage Breadth = count of distinct market regimes represented (bull, bear, transition, high-vol, low-vol, sector rotation) divided by 6, and Quality Tier Distribution = percentage of examples scoring ≥4.0/5.0 on the rubric.</w:t>
      </w:r>
    </w:p>
    <w:p>
      <w:pPr>
        <w:pStyle w:val="BodyText"/>
      </w:pPr>
      <w:r>
        <w:rPr>
          <w:bCs/>
          <w:b/>
        </w:rPr>
        <w:t xml:space="preserve">Schedule health KPIs</w:t>
      </w:r>
      <w:r>
        <w:t xml:space="preserve">: GPU utilization % (target: 73%), VRAM handoff success rate (target: &gt;99%), overnight pipeline completion rate (target: &gt;95%), maximum scan delay (target: &lt;5 minutes from scheduled time).</w:t>
      </w:r>
    </w:p>
    <w:bookmarkEnd w:id="50"/>
    <w:bookmarkEnd w:id="51"/>
    <w:bookmarkStart w:id="52" w:name="roadmap-timeline"/>
    <w:p>
      <w:pPr>
        <w:pStyle w:val="Heading1"/>
      </w:pPr>
      <w:r>
        <w:t xml:space="preserve">10. Roadmap &amp; Timeline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Milestone</w:t>
            </w:r>
          </w:p>
        </w:tc>
        <w:tc>
          <w:tcPr/>
          <w:p>
            <w:pPr>
              <w:pStyle w:val="Compact"/>
              <w:jc w:val="left"/>
            </w:pPr>
            <w:r>
              <w:t xml:space="preserve">Estimated Date</w:t>
            </w:r>
          </w:p>
        </w:tc>
        <w:tc>
          <w:tcPr/>
          <w:p>
            <w:pPr>
              <w:pStyle w:val="Compact"/>
              <w:jc w:val="left"/>
            </w:pPr>
            <w:r>
              <w:t xml:space="preserve">Gate</w:t>
            </w:r>
          </w:p>
        </w:tc>
        <w:tc>
          <w:tcPr/>
          <w:p>
            <w:pPr>
              <w:pStyle w:val="Compact"/>
              <w:jc w:val="left"/>
            </w:pPr>
            <w:r>
              <w:t xml:space="preserve">Key Deliverable</w:t>
            </w:r>
          </w:p>
        </w:tc>
      </w:tr>
      <w:tr>
        <w:tc>
          <w:tcPr/>
          <w:p>
            <w:pPr>
              <w:pStyle w:val="Compact"/>
              <w:jc w:val="left"/>
            </w:pPr>
            <w:r>
              <w:t xml:space="preserve">First market scan</w:t>
            </w:r>
          </w:p>
        </w:tc>
        <w:tc>
          <w:tcPr/>
          <w:p>
            <w:pPr>
              <w:pStyle w:val="Compact"/>
              <w:jc w:val="left"/>
            </w:pPr>
            <w:r>
              <w:t xml:space="preserve">March 26, 2026</w:t>
            </w:r>
          </w:p>
        </w:tc>
        <w:tc>
          <w:tcPr/>
          <w:p>
            <w:pPr>
              <w:pStyle w:val="Compact"/>
              <w:jc w:val="left"/>
            </w:pPr>
            <w:r>
              <w:t xml:space="preserve">—</w:t>
            </w:r>
          </w:p>
        </w:tc>
        <w:tc>
          <w:tcPr/>
          <w:p>
            <w:pPr>
              <w:pStyle w:val="Compact"/>
              <w:jc w:val="left"/>
            </w:pPr>
            <w:r>
              <w:t xml:space="preserve">System operational</w:t>
            </w:r>
          </w:p>
        </w:tc>
      </w:tr>
      <w:tr>
        <w:tc>
          <w:tcPr/>
          <w:p>
            <w:pPr>
              <w:pStyle w:val="Compact"/>
              <w:jc w:val="left"/>
            </w:pPr>
            <w:r>
              <w:t xml:space="preserve">50 closed trades</w:t>
            </w:r>
          </w:p>
        </w:tc>
        <w:tc>
          <w:tcPr/>
          <w:p>
            <w:pPr>
              <w:pStyle w:val="Compact"/>
              <w:jc w:val="left"/>
            </w:pPr>
            <w:r>
              <w:t xml:space="preserve">~June 2026</w:t>
            </w:r>
          </w:p>
        </w:tc>
        <w:tc>
          <w:tcPr/>
          <w:p>
            <w:pPr>
              <w:pStyle w:val="Compact"/>
              <w:jc w:val="left"/>
            </w:pPr>
            <w:r>
              <w:t xml:space="preserve">Phase 1 gate</w:t>
            </w:r>
          </w:p>
        </w:tc>
        <w:tc>
          <w:tcPr/>
          <w:p>
            <w:pPr>
              <w:pStyle w:val="Compact"/>
              <w:jc w:val="left"/>
            </w:pPr>
            <w:r>
              <w:t xml:space="preserve">Statistical validation dataset</w:t>
            </w:r>
          </w:p>
        </w:tc>
      </w:tr>
      <w:tr>
        <w:tc>
          <w:tcPr/>
          <w:p>
            <w:pPr>
              <w:pStyle w:val="Compact"/>
              <w:jc w:val="left"/>
            </w:pPr>
            <w:r>
              <w:t xml:space="preserve">Wyoming LLC formation</w:t>
            </w:r>
          </w:p>
        </w:tc>
        <w:tc>
          <w:tcPr/>
          <w:p>
            <w:pPr>
              <w:pStyle w:val="Compact"/>
              <w:jc w:val="left"/>
            </w:pPr>
            <w:r>
              <w:t xml:space="preserve">July 2026</w:t>
            </w:r>
          </w:p>
        </w:tc>
        <w:tc>
          <w:tcPr/>
          <w:p>
            <w:pPr>
              <w:pStyle w:val="Compact"/>
              <w:jc w:val="left"/>
            </w:pPr>
            <w:r>
              <w:t xml:space="preserve">Phase 1 gate passed</w:t>
            </w:r>
          </w:p>
        </w:tc>
        <w:tc>
          <w:tcPr/>
          <w:p>
            <w:pPr>
              <w:pStyle w:val="Compact"/>
              <w:jc w:val="left"/>
            </w:pPr>
            <w:r>
              <w:t xml:space="preserve">Section 475 MTM election within 75 days</w:t>
            </w:r>
          </w:p>
        </w:tc>
      </w:tr>
      <w:tr>
        <w:tc>
          <w:tcPr/>
          <w:p>
            <w:pPr>
              <w:pStyle w:val="Compact"/>
              <w:jc w:val="left"/>
            </w:pPr>
            <w:r>
              <w:t xml:space="preserve">Phase 2: Live trading ($1K–$5K) + Research Desk</w:t>
            </w:r>
          </w:p>
        </w:tc>
        <w:tc>
          <w:tcPr/>
          <w:p>
            <w:pPr>
              <w:pStyle w:val="Compact"/>
              <w:jc w:val="left"/>
            </w:pPr>
            <w:r>
              <w:t xml:space="preserve">August 2026</w:t>
            </w:r>
          </w:p>
        </w:tc>
        <w:tc>
          <w:tcPr/>
          <w:p>
            <w:pPr>
              <w:pStyle w:val="Compact"/>
              <w:jc w:val="left"/>
            </w:pPr>
            <w:r>
              <w:t xml:space="preserve">LLC formed</w:t>
            </w:r>
          </w:p>
        </w:tc>
        <w:tc>
          <w:tcPr/>
          <w:p>
            <w:pPr>
              <w:pStyle w:val="Compact"/>
              <w:jc w:val="left"/>
            </w:pPr>
            <w:r>
              <w:t xml:space="preserve">Real capital at risk; track record clock starts</w:t>
            </w:r>
          </w:p>
        </w:tc>
      </w:tr>
      <w:tr>
        <w:tc>
          <w:tcPr/>
          <w:p>
            <w:pPr>
              <w:pStyle w:val="Compact"/>
              <w:jc w:val="left"/>
            </w:pPr>
            <w:r>
              <w:t xml:space="preserve">RTX 3090 GPU upgrade</w:t>
            </w:r>
          </w:p>
        </w:tc>
        <w:tc>
          <w:tcPr/>
          <w:p>
            <w:pPr>
              <w:pStyle w:val="Compact"/>
              <w:jc w:val="left"/>
            </w:pPr>
            <w:r>
              <w:t xml:space="preserve">September 2026</w:t>
            </w:r>
          </w:p>
        </w:tc>
        <w:tc>
          <w:tcPr/>
          <w:p>
            <w:pPr>
              <w:pStyle w:val="Compact"/>
              <w:jc w:val="left"/>
            </w:pPr>
            <w:r>
              <w:t xml:space="preserve">Phase 2 running smoothly</w:t>
            </w:r>
          </w:p>
        </w:tc>
        <w:tc>
          <w:tcPr/>
          <w:p>
            <w:pPr>
              <w:pStyle w:val="Compact"/>
              <w:jc w:val="left"/>
            </w:pPr>
            <w:r>
              <w:t xml:space="preserve">24GB VRAM enables larger models and faster training</w:t>
            </w:r>
          </w:p>
        </w:tc>
      </w:tr>
      <w:tr>
        <w:tc>
          <w:tcPr/>
          <w:p>
            <w:pPr>
              <w:pStyle w:val="Compact"/>
              <w:jc w:val="left"/>
            </w:pPr>
            <w:r>
              <w:t xml:space="preserve">Polygon.io data subscription</w:t>
            </w:r>
          </w:p>
        </w:tc>
        <w:tc>
          <w:tcPr/>
          <w:p>
            <w:pPr>
              <w:pStyle w:val="Compact"/>
              <w:jc w:val="left"/>
            </w:pPr>
            <w:r>
              <w:t xml:space="preserve">September 2026</w:t>
            </w:r>
          </w:p>
        </w:tc>
        <w:tc>
          <w:tcPr/>
          <w:p>
            <w:pPr>
              <w:pStyle w:val="Compact"/>
              <w:jc w:val="left"/>
            </w:pPr>
            <w:r>
              <w:t xml:space="preserve">—</w:t>
            </w:r>
          </w:p>
        </w:tc>
        <w:tc>
          <w:tcPr/>
          <w:p>
            <w:pPr>
              <w:pStyle w:val="Compact"/>
              <w:jc w:val="left"/>
            </w:pPr>
            <w:r>
              <w:t xml:space="preserve">Enhanced data quality beyond yfinance</w:t>
            </w:r>
          </w:p>
        </w:tc>
      </w:tr>
      <w:tr>
        <w:tc>
          <w:tcPr/>
          <w:p>
            <w:pPr>
              <w:pStyle w:val="Compact"/>
              <w:jc w:val="left"/>
            </w:pPr>
            <w:r>
              <w:t xml:space="preserve">2TB NVMe storage</w:t>
            </w:r>
          </w:p>
        </w:tc>
        <w:tc>
          <w:tcPr/>
          <w:p>
            <w:pPr>
              <w:pStyle w:val="Compact"/>
              <w:jc w:val="left"/>
            </w:pPr>
            <w:r>
              <w:t xml:space="preserve">October 2026</w:t>
            </w:r>
          </w:p>
        </w:tc>
        <w:tc>
          <w:tcPr/>
          <w:p>
            <w:pPr>
              <w:pStyle w:val="Compact"/>
              <w:jc w:val="left"/>
            </w:pPr>
            <w:r>
              <w:t xml:space="preserve">Growing data footprint</w:t>
            </w:r>
          </w:p>
        </w:tc>
        <w:tc>
          <w:tcPr/>
          <w:p>
            <w:pPr>
              <w:pStyle w:val="Compact"/>
              <w:jc w:val="left"/>
            </w:pPr>
            <w:r>
              <w:t xml:space="preserve">Model checkpoint storage, historical data archive</w:t>
            </w:r>
          </w:p>
        </w:tc>
      </w:tr>
      <w:tr>
        <w:tc>
          <w:tcPr/>
          <w:p>
            <w:pPr>
              <w:pStyle w:val="Compact"/>
              <w:jc w:val="left"/>
            </w:pPr>
            <w:r>
              <w:t xml:space="preserve">Interactive Brokers account</w:t>
            </w:r>
          </w:p>
        </w:tc>
        <w:tc>
          <w:tcPr/>
          <w:p>
            <w:pPr>
              <w:pStyle w:val="Compact"/>
              <w:jc w:val="left"/>
            </w:pPr>
            <w:r>
              <w:t xml:space="preserve">November 2026</w:t>
            </w:r>
          </w:p>
        </w:tc>
        <w:tc>
          <w:tcPr/>
          <w:p>
            <w:pPr>
              <w:pStyle w:val="Compact"/>
              <w:jc w:val="left"/>
            </w:pPr>
            <w:r>
              <w:t xml:space="preserve">—</w:t>
            </w:r>
          </w:p>
        </w:tc>
        <w:tc>
          <w:tcPr/>
          <w:p>
            <w:pPr>
              <w:pStyle w:val="Compact"/>
              <w:jc w:val="left"/>
            </w:pPr>
            <w:r>
              <w:t xml:space="preserve">GIPS-verified returns infrastructure</w:t>
            </w:r>
          </w:p>
        </w:tc>
      </w:tr>
      <w:tr>
        <w:tc>
          <w:tcPr/>
          <w:p>
            <w:pPr>
              <w:pStyle w:val="Compact"/>
              <w:jc w:val="left"/>
            </w:pPr>
            <w:r>
              <w:t xml:space="preserve">Phase 3: Options Desk (paper)</w:t>
            </w:r>
          </w:p>
        </w:tc>
        <w:tc>
          <w:tcPr/>
          <w:p>
            <w:pPr>
              <w:pStyle w:val="Compact"/>
              <w:jc w:val="left"/>
            </w:pPr>
            <w:r>
              <w:t xml:space="preserve">January 2027</w:t>
            </w:r>
          </w:p>
        </w:tc>
        <w:tc>
          <w:tcPr/>
          <w:p>
            <w:pPr>
              <w:pStyle w:val="Compact"/>
              <w:jc w:val="left"/>
            </w:pPr>
            <w:r>
              <w:t xml:space="preserve">Swing Desk profitable</w:t>
            </w:r>
          </w:p>
        </w:tc>
        <w:tc>
          <w:tcPr/>
          <w:p>
            <w:pPr>
              <w:pStyle w:val="Compact"/>
              <w:jc w:val="left"/>
            </w:pPr>
            <w:r>
              <w:t xml:space="preserve">Options data collection, LoRA adapter training</w:t>
            </w:r>
          </w:p>
        </w:tc>
      </w:tr>
      <w:tr>
        <w:tc>
          <w:tcPr/>
          <w:p>
            <w:pPr>
              <w:pStyle w:val="Compact"/>
              <w:jc w:val="left"/>
            </w:pPr>
            <w:r>
              <w:t xml:space="preserve">12-month live track record</w:t>
            </w:r>
          </w:p>
        </w:tc>
        <w:tc>
          <w:tcPr/>
          <w:p>
            <w:pPr>
              <w:pStyle w:val="Compact"/>
              <w:jc w:val="left"/>
            </w:pPr>
            <w:r>
              <w:t xml:space="preserve">August 2027</w:t>
            </w:r>
          </w:p>
        </w:tc>
        <w:tc>
          <w:tcPr/>
          <w:p>
            <w:pPr>
              <w:pStyle w:val="Compact"/>
              <w:jc w:val="left"/>
            </w:pPr>
            <w:r>
              <w:t xml:space="preserve">Phase 2 validated</w:t>
            </w:r>
          </w:p>
        </w:tc>
        <w:tc>
          <w:tcPr/>
          <w:p>
            <w:pPr>
              <w:pStyle w:val="Compact"/>
              <w:jc w:val="left"/>
            </w:pPr>
            <w:r>
              <w:t xml:space="preserve">Institutional credibility milestone</w:t>
            </w:r>
          </w:p>
        </w:tc>
      </w:tr>
      <w:tr>
        <w:tc>
          <w:tcPr/>
          <w:p>
            <w:pPr>
              <w:pStyle w:val="Compact"/>
              <w:jc w:val="left"/>
            </w:pPr>
            <w:r>
              <w:t xml:space="preserve">Incubator fund formation</w:t>
            </w:r>
          </w:p>
        </w:tc>
        <w:tc>
          <w:tcPr/>
          <w:p>
            <w:pPr>
              <w:pStyle w:val="Compact"/>
              <w:jc w:val="left"/>
            </w:pPr>
            <w:r>
              <w:t xml:space="preserve">September 2027</w:t>
            </w:r>
          </w:p>
        </w:tc>
        <w:tc>
          <w:tcPr/>
          <w:p>
            <w:pPr>
              <w:pStyle w:val="Compact"/>
              <w:jc w:val="left"/>
            </w:pPr>
            <w:r>
              <w:t xml:space="preserve">12-month track record</w:t>
            </w:r>
          </w:p>
        </w:tc>
        <w:tc>
          <w:tcPr/>
          <w:p>
            <w:pPr>
              <w:pStyle w:val="Compact"/>
              <w:jc w:val="left"/>
            </w:pPr>
            <w:r>
              <w:t xml:space="preserve">Auditable fund-level performance</w:t>
            </w:r>
          </w:p>
        </w:tc>
      </w:tr>
      <w:tr>
        <w:tc>
          <w:tcPr/>
          <w:p>
            <w:pPr>
              <w:pStyle w:val="Compact"/>
              <w:jc w:val="left"/>
            </w:pPr>
            <w:r>
              <w:t xml:space="preserve">Phase 4: Options live, investor-ready</w:t>
            </w:r>
          </w:p>
        </w:tc>
        <w:tc>
          <w:tcPr/>
          <w:p>
            <w:pPr>
              <w:pStyle w:val="Compact"/>
              <w:jc w:val="left"/>
            </w:pPr>
            <w:r>
              <w:t xml:space="preserve">March 2028</w:t>
            </w:r>
          </w:p>
        </w:tc>
        <w:tc>
          <w:tcPr/>
          <w:p>
            <w:pPr>
              <w:pStyle w:val="Compact"/>
              <w:jc w:val="left"/>
            </w:pPr>
            <w:r>
              <w:t xml:space="preserve">Options paper profitable</w:t>
            </w:r>
          </w:p>
        </w:tc>
        <w:tc>
          <w:tcPr/>
          <w:p>
            <w:pPr>
              <w:pStyle w:val="Compact"/>
              <w:jc w:val="left"/>
            </w:pPr>
            <w:r>
              <w:t xml:space="preserve">Two uncorrelated return streams</w:t>
            </w:r>
          </w:p>
        </w:tc>
      </w:tr>
      <w:tr>
        <w:tc>
          <w:tcPr/>
          <w:p>
            <w:pPr>
              <w:pStyle w:val="Compact"/>
              <w:jc w:val="left"/>
            </w:pPr>
            <w:r>
              <w:t xml:space="preserve">3-year audited track record</w:t>
            </w:r>
          </w:p>
        </w:tc>
        <w:tc>
          <w:tcPr/>
          <w:p>
            <w:pPr>
              <w:pStyle w:val="Compact"/>
              <w:jc w:val="left"/>
            </w:pPr>
            <w:r>
              <w:t xml:space="preserve">September 2029</w:t>
            </w:r>
          </w:p>
        </w:tc>
        <w:tc>
          <w:tcPr/>
          <w:p>
            <w:pPr>
              <w:pStyle w:val="Compact"/>
              <w:jc w:val="left"/>
            </w:pPr>
            <w:r>
              <w:t xml:space="preserve">Fund operational</w:t>
            </w:r>
          </w:p>
        </w:tc>
        <w:tc>
          <w:tcPr/>
          <w:p>
            <w:pPr>
              <w:pStyle w:val="Compact"/>
              <w:jc w:val="left"/>
            </w:pPr>
            <w:r>
              <w:t xml:space="preserve">Institutional allocation qualification</w:t>
            </w:r>
          </w:p>
        </w:tc>
      </w:tr>
      <w:tr>
        <w:tc>
          <w:tcPr/>
          <w:p>
            <w:pPr>
              <w:pStyle w:val="Compact"/>
              <w:jc w:val="left"/>
            </w:pPr>
            <w:r>
              <w:t xml:space="preserve">Phase 5: External AUM + Momentum Desk</w:t>
            </w:r>
          </w:p>
        </w:tc>
        <w:tc>
          <w:tcPr/>
          <w:p>
            <w:pPr>
              <w:pStyle w:val="Compact"/>
              <w:jc w:val="left"/>
            </w:pPr>
            <w:r>
              <w:t xml:space="preserve">2029–2030</w:t>
            </w:r>
          </w:p>
        </w:tc>
        <w:tc>
          <w:tcPr/>
          <w:p>
            <w:pPr>
              <w:pStyle w:val="Compact"/>
              <w:jc w:val="left"/>
            </w:pPr>
            <w:r>
              <w:t xml:space="preserve">3-year track record</w:t>
            </w:r>
          </w:p>
        </w:tc>
        <w:tc>
          <w:tcPr/>
          <w:p>
            <w:pPr>
              <w:pStyle w:val="Compact"/>
              <w:jc w:val="left"/>
            </w:pPr>
            <w:r>
              <w:t xml:space="preserve">Three uncorrelated return streams, $3M+ AUM target</w:t>
            </w:r>
          </w:p>
        </w:tc>
      </w:tr>
    </w:tbl>
    <w:p>
      <w:pPr>
        <w:pStyle w:val="BodyText"/>
      </w:pPr>
      <w:r>
        <w:rPr>
          <w:bCs/>
          <w:b/>
        </w:rPr>
        <w:t xml:space="preserve">Hardware scaling plan</w:t>
      </w:r>
      <w:r>
        <w:t xml:space="preserve">: RTX 3060 (current, 12GB) → RTX 3090 (September 2026, 24GB, ~$800 used) → consider RTX 4090 or dual-GPU at fund stage if 14B+ models are needed.</w:t>
      </w:r>
    </w:p>
    <w:p>
      <w:pPr>
        <w:pStyle w:val="BodyText"/>
      </w:pPr>
      <w:r>
        <w:rPr>
          <w:bCs/>
          <w:b/>
        </w:rPr>
        <w:t xml:space="preserve">Data subscription plan</w:t>
      </w:r>
      <w:r>
        <w:t xml:space="preserve">: Free tier through Phase 1 → Polygon.io Starter ($29/mo, Phase 2) → Polygon.io Advanced + Unusual Whales ($79/mo, Phase 3) → Bloomberg B-PIPE or equivalent at fund stage.</w:t>
      </w:r>
    </w:p>
    <w:p>
      <w:pPr>
        <w:pStyle w:val="BodyText"/>
      </w:pPr>
      <w:r>
        <w:rPr>
          <w:bCs/>
          <w:b/>
        </w:rPr>
        <w:t xml:space="preserve">First hire</w:t>
      </w:r>
      <w:r>
        <w:t xml:space="preserve">: When AUM supports $60K+ salary, hire a junior ML engineer or quant developer. This is likely at $5M+ AUM. Until then, maximum automation substitutes for headcount.</w:t>
      </w:r>
    </w:p>
    <w:bookmarkEnd w:id="52"/>
    <w:bookmarkStart w:id="53" w:name="research-synthesis"/>
    <w:p>
      <w:pPr>
        <w:pStyle w:val="Heading1"/>
      </w:pPr>
      <w:r>
        <w:t xml:space="preserve">11. Research Synthesis</w:t>
      </w:r>
    </w:p>
    <w:p>
      <w:pPr>
        <w:pStyle w:val="FirstParagraph"/>
      </w:pPr>
      <w:r>
        <w:t xml:space="preserve">Halcyon Lab’s strategy and architecture are informed by 19 research documents. Key findings and implementation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Title</w:t>
            </w:r>
          </w:p>
        </w:tc>
        <w:tc>
          <w:tcPr/>
          <w:p>
            <w:pPr>
              <w:pStyle w:val="Compact"/>
              <w:jc w:val="left"/>
            </w:pPr>
            <w:r>
              <w:t xml:space="preserve">Key Finding</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Best Local LLM for Financial Analysis on RTX 3060</w:t>
            </w:r>
          </w:p>
        </w:tc>
        <w:tc>
          <w:tcPr/>
          <w:p>
            <w:pPr>
              <w:pStyle w:val="Compact"/>
              <w:jc w:val="left"/>
            </w:pPr>
            <w:r>
              <w:t xml:space="preserve">Qwen3 8B is optimal for 12GB VRAM; fine-tuning quality &gt; model size</w:t>
            </w:r>
          </w:p>
        </w:tc>
        <w:tc>
          <w:tcPr/>
          <w:p>
            <w:pPr>
              <w:pStyle w:val="Compact"/>
              <w:jc w:val="left"/>
            </w:pPr>
            <w:r>
              <w:t xml:space="preserve">IMPLEMENTED</w:t>
            </w:r>
          </w:p>
        </w:tc>
      </w:tr>
      <w:tr>
        <w:tc>
          <w:tcPr/>
          <w:p>
            <w:pPr>
              <w:pStyle w:val="Compact"/>
              <w:jc w:val="left"/>
            </w:pPr>
            <w:r>
              <w:t xml:space="preserve">2</w:t>
            </w:r>
          </w:p>
        </w:tc>
        <w:tc>
          <w:tcPr/>
          <w:p>
            <w:pPr>
              <w:pStyle w:val="Compact"/>
              <w:jc w:val="left"/>
            </w:pPr>
            <w:r>
              <w:t xml:space="preserve">Training Data Strategies for Small Financial LLMs</w:t>
            </w:r>
          </w:p>
        </w:tc>
        <w:tc>
          <w:tcPr/>
          <w:p>
            <w:pPr>
              <w:pStyle w:val="Compact"/>
              <w:jc w:val="left"/>
            </w:pPr>
            <w:r>
              <w:t xml:space="preserve">3,000–5,000 curated examples outperform 50K+ low-quality; Trading-R1 achieved 2.72 Sharpe</w:t>
            </w:r>
          </w:p>
        </w:tc>
        <w:tc>
          <w:tcPr/>
          <w:p>
            <w:pPr>
              <w:pStyle w:val="Compact"/>
              <w:jc w:val="left"/>
            </w:pPr>
            <w:r>
              <w:t xml:space="preserve">IMPLEMENTED (790 examples; scaling to 3K–5K)</w:t>
            </w:r>
          </w:p>
        </w:tc>
      </w:tr>
      <w:tr>
        <w:tc>
          <w:tcPr/>
          <w:p>
            <w:pPr>
              <w:pStyle w:val="Compact"/>
              <w:jc w:val="left"/>
            </w:pPr>
            <w:r>
              <w:t xml:space="preserve">3</w:t>
            </w:r>
          </w:p>
        </w:tc>
        <w:tc>
          <w:tcPr/>
          <w:p>
            <w:pPr>
              <w:pStyle w:val="Compact"/>
              <w:jc w:val="left"/>
            </w:pPr>
            <w:r>
              <w:t xml:space="preserve">Optimal Training Formats for Equity Commentary</w:t>
            </w:r>
          </w:p>
        </w:tc>
        <w:tc>
          <w:tcPr/>
          <w:p>
            <w:pPr>
              <w:pStyle w:val="Compact"/>
              <w:jc w:val="left"/>
            </w:pPr>
            <w:r>
              <w:t xml:space="preserve">XML-tagged structured output with multi-source inputs produces highest-quality fine-tunes</w:t>
            </w:r>
          </w:p>
        </w:tc>
        <w:tc>
          <w:tcPr/>
          <w:p>
            <w:pPr>
              <w:pStyle w:val="Compact"/>
              <w:jc w:val="left"/>
            </w:pPr>
            <w:r>
              <w:t xml:space="preserve">IMPLEMENTED</w:t>
            </w:r>
          </w:p>
        </w:tc>
      </w:tr>
      <w:tr>
        <w:tc>
          <w:tcPr/>
          <w:p>
            <w:pPr>
              <w:pStyle w:val="Compact"/>
              <w:jc w:val="left"/>
            </w:pPr>
            <w:r>
              <w:t xml:space="preserve">4</w:t>
            </w:r>
          </w:p>
        </w:tc>
        <w:tc>
          <w:tcPr/>
          <w:p>
            <w:pPr>
              <w:pStyle w:val="Compact"/>
              <w:jc w:val="left"/>
            </w:pPr>
            <w:r>
              <w:t xml:space="preserve">Gold-Standard Rubric for Scoring Commentary</w:t>
            </w:r>
          </w:p>
        </w:tc>
        <w:tc>
          <w:tcPr/>
          <w:p>
            <w:pPr>
              <w:pStyle w:val="Compact"/>
              <w:jc w:val="left"/>
            </w:pPr>
            <w:r>
              <w:t xml:space="preserve">6-dimension rubric (thesis clarity, evidence, risk, accuracy, calibration, actionability) with binary checklist decomposition</w:t>
            </w:r>
          </w:p>
        </w:tc>
        <w:tc>
          <w:tcPr/>
          <w:p>
            <w:pPr>
              <w:pStyle w:val="Compact"/>
              <w:jc w:val="left"/>
            </w:pPr>
            <w:r>
              <w:t xml:space="preserve">IMPLEMENTED</w:t>
            </w:r>
          </w:p>
        </w:tc>
      </w:tr>
      <w:tr>
        <w:tc>
          <w:tcPr/>
          <w:p>
            <w:pPr>
              <w:pStyle w:val="Compact"/>
              <w:jc w:val="left"/>
            </w:pPr>
            <w:r>
              <w:t xml:space="preserve">5</w:t>
            </w:r>
          </w:p>
        </w:tc>
        <w:tc>
          <w:tcPr/>
          <w:p>
            <w:pPr>
              <w:pStyle w:val="Compact"/>
              <w:jc w:val="left"/>
            </w:pPr>
            <w:r>
              <w:t xml:space="preserve">Self-Blinding Pipelines and Reverse Reasoning</w:t>
            </w:r>
          </w:p>
        </w:tc>
        <w:tc>
          <w:tcPr/>
          <w:p>
            <w:pPr>
              <w:pStyle w:val="Compact"/>
              <w:jc w:val="left"/>
            </w:pPr>
            <w:r>
              <w:t xml:space="preserve">LLMs cannot simulate counterfactual knowledge; architectural self-blinding is the only reliable solution</w:t>
            </w:r>
          </w:p>
        </w:tc>
        <w:tc>
          <w:tcPr/>
          <w:p>
            <w:pPr>
              <w:pStyle w:val="Compact"/>
              <w:jc w:val="left"/>
            </w:pPr>
            <w:r>
              <w:t xml:space="preserve">IMPLEMENTED</w:t>
            </w:r>
          </w:p>
        </w:tc>
      </w:tr>
      <w:tr>
        <w:tc>
          <w:tcPr/>
          <w:p>
            <w:pPr>
              <w:pStyle w:val="Compact"/>
              <w:jc w:val="left"/>
            </w:pPr>
            <w:r>
              <w:t xml:space="preserve">6</w:t>
            </w:r>
          </w:p>
        </w:tc>
        <w:tc>
          <w:tcPr/>
          <w:p>
            <w:pPr>
              <w:pStyle w:val="Compact"/>
              <w:jc w:val="left"/>
            </w:pPr>
            <w:r>
              <w:t xml:space="preserve">Model Degradation in Iterative QLoRA Retraining</w:t>
            </w:r>
          </w:p>
        </w:tc>
        <w:tc>
          <w:tcPr/>
          <w:p>
            <w:pPr>
              <w:pStyle w:val="Compact"/>
              <w:jc w:val="left"/>
            </w:pPr>
            <w:r>
              <w:t xml:space="preserve">Golden ratio mixing (62% new / 38% historical) prevents catastrophic forgetting; merge-and-reset LoRA every 2–3 months</w:t>
            </w:r>
          </w:p>
        </w:tc>
        <w:tc>
          <w:tcPr/>
          <w:p>
            <w:pPr>
              <w:pStyle w:val="Compact"/>
              <w:jc w:val="left"/>
            </w:pPr>
            <w:r>
              <w:t xml:space="preserve">PLANNED (Phase 2+)</w:t>
            </w:r>
          </w:p>
        </w:tc>
      </w:tr>
      <w:tr>
        <w:tc>
          <w:tcPr/>
          <w:p>
            <w:pPr>
              <w:pStyle w:val="Compact"/>
              <w:jc w:val="left"/>
            </w:pPr>
            <w:r>
              <w:t xml:space="preserve">7</w:t>
            </w:r>
          </w:p>
        </w:tc>
        <w:tc>
          <w:tcPr/>
          <w:p>
            <w:pPr>
              <w:pStyle w:val="Compact"/>
              <w:jc w:val="left"/>
            </w:pPr>
            <w:r>
              <w:t xml:space="preserve">GRPO for Financial LLMs on Consumer Hardware</w:t>
            </w:r>
          </w:p>
        </w:tc>
        <w:tc>
          <w:tcPr/>
          <w:p>
            <w:pPr>
              <w:pStyle w:val="Compact"/>
              <w:jc w:val="left"/>
            </w:pPr>
            <w:r>
              <w:t xml:space="preserve">GRPO works with 100–200 trades; volatility-normalized multi-horizon rewards; monitor entropy collapse</w:t>
            </w:r>
          </w:p>
        </w:tc>
        <w:tc>
          <w:tcPr/>
          <w:p>
            <w:pPr>
              <w:pStyle w:val="Compact"/>
              <w:jc w:val="left"/>
            </w:pPr>
            <w:r>
              <w:t xml:space="preserve">PLANNED (Phase 3+)</w:t>
            </w:r>
          </w:p>
        </w:tc>
      </w:tr>
      <w:tr>
        <w:tc>
          <w:tcPr/>
          <w:p>
            <w:pPr>
              <w:pStyle w:val="Compact"/>
              <w:jc w:val="left"/>
            </w:pPr>
            <w:r>
              <w:t xml:space="preserve">8</w:t>
            </w:r>
          </w:p>
        </w:tc>
        <w:tc>
          <w:tcPr/>
          <w:p>
            <w:pPr>
              <w:pStyle w:val="Compact"/>
              <w:jc w:val="left"/>
            </w:pPr>
            <w:r>
              <w:t xml:space="preserve">The Halcyon Framework (Compute, Value, Moat)</w:t>
            </w:r>
          </w:p>
        </w:tc>
        <w:tc>
          <w:tcPr/>
          <w:p>
            <w:pPr>
              <w:pStyle w:val="Compact"/>
              <w:jc w:val="left"/>
            </w:pPr>
            <w:r>
              <w:t xml:space="preserve">75% GPU target; weekly retrain &gt; nightly; data asset is most valuable component; HSHS composite score</w:t>
            </w:r>
          </w:p>
        </w:tc>
        <w:tc>
          <w:tcPr/>
          <w:p>
            <w:pPr>
              <w:pStyle w:val="Compact"/>
              <w:jc w:val="left"/>
            </w:pPr>
            <w:r>
              <w:t xml:space="preserve">IMPLEMENTED</w:t>
            </w:r>
          </w:p>
        </w:tc>
      </w:tr>
      <w:tr>
        <w:tc>
          <w:tcPr/>
          <w:p>
            <w:pPr>
              <w:pStyle w:val="Compact"/>
              <w:jc w:val="left"/>
            </w:pPr>
            <w:r>
              <w:t xml:space="preserve">9</w:t>
            </w:r>
          </w:p>
        </w:tc>
        <w:tc>
          <w:tcPr/>
          <w:p>
            <w:pPr>
              <w:pStyle w:val="Compact"/>
              <w:jc w:val="left"/>
            </w:pPr>
            <w:r>
              <w:t xml:space="preserve">Halcyon Lab Scaling Plan Through 2026</w:t>
            </w:r>
          </w:p>
        </w:tc>
        <w:tc>
          <w:tcPr/>
          <w:p>
            <w:pPr>
              <w:pStyle w:val="Compact"/>
              <w:jc w:val="left"/>
            </w:pPr>
            <w:r>
              <w:t xml:space="preserve">Phase-gated scaling; prove then scale; $0 hardware spend until Phase 1 validated</w:t>
            </w:r>
          </w:p>
        </w:tc>
        <w:tc>
          <w:tcPr/>
          <w:p>
            <w:pPr>
              <w:pStyle w:val="Compact"/>
              <w:jc w:val="left"/>
            </w:pPr>
            <w:r>
              <w:t xml:space="preserve">IMPLEMENTED</w:t>
            </w:r>
          </w:p>
        </w:tc>
      </w:tr>
      <w:tr>
        <w:tc>
          <w:tcPr/>
          <w:p>
            <w:pPr>
              <w:pStyle w:val="Compact"/>
              <w:jc w:val="left"/>
            </w:pPr>
            <w:r>
              <w:t xml:space="preserve">10</w:t>
            </w:r>
          </w:p>
        </w:tc>
        <w:tc>
          <w:tcPr/>
          <w:p>
            <w:pPr>
              <w:pStyle w:val="Compact"/>
              <w:jc w:val="left"/>
            </w:pPr>
            <w:r>
              <w:t xml:space="preserve">Alternative Data Signals (Cost-Benefit Analysis)</w:t>
            </w:r>
          </w:p>
        </w:tc>
        <w:tc>
          <w:tcPr/>
          <w:p>
            <w:pPr>
              <w:pStyle w:val="Compact"/>
              <w:jc w:val="left"/>
            </w:pPr>
            <w:r>
              <w:t xml:space="preserve">Options flow and Google Trends have highest marginal value per dollar for S&amp;P 100 pullbacks</w:t>
            </w:r>
          </w:p>
        </w:tc>
        <w:tc>
          <w:tcPr/>
          <w:p>
            <w:pPr>
              <w:pStyle w:val="Compact"/>
              <w:jc w:val="left"/>
            </w:pPr>
            <w:r>
              <w:t xml:space="preserve">IMPLEMENTED (Google Trends, options)</w:t>
            </w:r>
          </w:p>
        </w:tc>
      </w:tr>
      <w:tr>
        <w:tc>
          <w:tcPr/>
          <w:p>
            <w:pPr>
              <w:pStyle w:val="Compact"/>
              <w:jc w:val="left"/>
            </w:pPr>
            <w:r>
              <w:t xml:space="preserve">11</w:t>
            </w:r>
          </w:p>
        </w:tc>
        <w:tc>
          <w:tcPr/>
          <w:p>
            <w:pPr>
              <w:pStyle w:val="Compact"/>
              <w:jc w:val="left"/>
            </w:pPr>
            <w:r>
              <w:t xml:space="preserve">S&amp;P 100 Pullback Trading Profiles</w:t>
            </w:r>
          </w:p>
        </w:tc>
        <w:tc>
          <w:tcPr/>
          <w:p>
            <w:pPr>
              <w:pStyle w:val="Compact"/>
              <w:jc w:val="left"/>
            </w:pPr>
            <w:r>
              <w:t xml:space="preserve">101 stock-specific profiles with pullback depth, recovery time, binary events, danger signals</w:t>
            </w:r>
          </w:p>
        </w:tc>
        <w:tc>
          <w:tcPr/>
          <w:p>
            <w:pPr>
              <w:pStyle w:val="Compact"/>
              <w:jc w:val="left"/>
            </w:pPr>
            <w:r>
              <w:t xml:space="preserve">REFERENCE</w:t>
            </w:r>
          </w:p>
        </w:tc>
      </w:tr>
      <w:tr>
        <w:tc>
          <w:tcPr/>
          <w:p>
            <w:pPr>
              <w:pStyle w:val="Compact"/>
              <w:jc w:val="left"/>
            </w:pPr>
            <w:r>
              <w:t xml:space="preserve">12</w:t>
            </w:r>
          </w:p>
        </w:tc>
        <w:tc>
          <w:tcPr/>
          <w:p>
            <w:pPr>
              <w:pStyle w:val="Compact"/>
              <w:jc w:val="left"/>
            </w:pPr>
            <w:r>
              <w:t xml:space="preserve">From Solo Trader to Fund Manager</w:t>
            </w:r>
          </w:p>
        </w:tc>
        <w:tc>
          <w:tcPr/>
          <w:p>
            <w:pPr>
              <w:pStyle w:val="Compact"/>
              <w:jc w:val="left"/>
            </w:pPr>
            <w:r>
              <w:t xml:space="preserve">Wyoming LLC + Section 475 MTM; ERA at &lt;$150M AUM; GIPS-verified returns via IBKR</w:t>
            </w:r>
          </w:p>
        </w:tc>
        <w:tc>
          <w:tcPr/>
          <w:p>
            <w:pPr>
              <w:pStyle w:val="Compact"/>
              <w:jc w:val="left"/>
            </w:pPr>
            <w:r>
              <w:t xml:space="preserve">PLANNED (Phase 2)</w:t>
            </w:r>
          </w:p>
        </w:tc>
      </w:tr>
      <w:tr>
        <w:tc>
          <w:tcPr/>
          <w:p>
            <w:pPr>
              <w:pStyle w:val="Compact"/>
              <w:jc w:val="left"/>
            </w:pPr>
            <w:r>
              <w:t xml:space="preserve">13</w:t>
            </w:r>
          </w:p>
        </w:tc>
        <w:tc>
          <w:tcPr/>
          <w:p>
            <w:pPr>
              <w:pStyle w:val="Compact"/>
              <w:jc w:val="left"/>
            </w:pPr>
            <w:r>
              <w:t xml:space="preserve">Investor-Ready Business Plan</w:t>
            </w:r>
          </w:p>
        </w:tc>
        <w:tc>
          <w:tcPr/>
          <w:p>
            <w:pPr>
              <w:pStyle w:val="Compact"/>
              <w:jc w:val="left"/>
            </w:pPr>
            <w:r>
              <w:t xml:space="preserve">Newsletter + signal marketplace + fund as three monetization paths; $500K–$1.5M ARR achievable in 3–5 years</w:t>
            </w:r>
          </w:p>
        </w:tc>
        <w:tc>
          <w:tcPr/>
          <w:p>
            <w:pPr>
              <w:pStyle w:val="Compact"/>
              <w:jc w:val="left"/>
            </w:pPr>
            <w:r>
              <w:t xml:space="preserve">REFERENCE</w:t>
            </w:r>
          </w:p>
        </w:tc>
      </w:tr>
      <w:tr>
        <w:tc>
          <w:tcPr/>
          <w:p>
            <w:pPr>
              <w:pStyle w:val="Compact"/>
              <w:jc w:val="left"/>
            </w:pPr>
            <w:r>
              <w:t xml:space="preserve">14</w:t>
            </w:r>
          </w:p>
        </w:tc>
        <w:tc>
          <w:tcPr/>
          <w:p>
            <w:pPr>
              <w:pStyle w:val="Compact"/>
              <w:jc w:val="left"/>
            </w:pPr>
            <w:r>
              <w:t xml:space="preserve">Halcyon Lab Quick Reference</w:t>
            </w:r>
          </w:p>
        </w:tc>
        <w:tc>
          <w:tcPr/>
          <w:p>
            <w:pPr>
              <w:pStyle w:val="Compact"/>
              <w:jc w:val="left"/>
            </w:pPr>
            <w:r>
              <w:t xml:space="preserve">CLI commands, configuration, system architecture, model versioning</w:t>
            </w:r>
          </w:p>
        </w:tc>
        <w:tc>
          <w:tcPr/>
          <w:p>
            <w:pPr>
              <w:pStyle w:val="Compact"/>
              <w:jc w:val="left"/>
            </w:pPr>
            <w:r>
              <w:t xml:space="preserve">IMPLEMENTED</w:t>
            </w:r>
          </w:p>
        </w:tc>
      </w:tr>
      <w:tr>
        <w:tc>
          <w:tcPr/>
          <w:p>
            <w:pPr>
              <w:pStyle w:val="Compact"/>
              <w:jc w:val="left"/>
            </w:pPr>
            <w:r>
              <w:t xml:space="preserve">15</w:t>
            </w:r>
          </w:p>
        </w:tc>
        <w:tc>
          <w:tcPr/>
          <w:p>
            <w:pPr>
              <w:pStyle w:val="Compact"/>
              <w:jc w:val="left"/>
            </w:pPr>
            <w:r>
              <w:t xml:space="preserve">Market Data API Comparison</w:t>
            </w:r>
          </w:p>
        </w:tc>
        <w:tc>
          <w:tcPr/>
          <w:p>
            <w:pPr>
              <w:pStyle w:val="Compact"/>
              <w:jc w:val="left"/>
            </w:pPr>
            <w:r>
              <w:t xml:space="preserve">Polygon.io Starter ($29/mo) is the optimal Phase 2 data upgrade</w:t>
            </w:r>
          </w:p>
        </w:tc>
        <w:tc>
          <w:tcPr/>
          <w:p>
            <w:pPr>
              <w:pStyle w:val="Compact"/>
              <w:jc w:val="left"/>
            </w:pPr>
            <w:r>
              <w:t xml:space="preserve">PLANNED (Phase 2)</w:t>
            </w:r>
          </w:p>
        </w:tc>
      </w:tr>
      <w:tr>
        <w:tc>
          <w:tcPr/>
          <w:p>
            <w:pPr>
              <w:pStyle w:val="Compact"/>
              <w:jc w:val="left"/>
            </w:pPr>
            <w:r>
              <w:t xml:space="preserve">16</w:t>
            </w:r>
          </w:p>
        </w:tc>
        <w:tc>
          <w:tcPr/>
          <w:p>
            <w:pPr>
              <w:pStyle w:val="Compact"/>
              <w:jc w:val="left"/>
            </w:pPr>
            <w:r>
              <w:t xml:space="preserve">Earnings Calendar &amp; Binary Event System</w:t>
            </w:r>
          </w:p>
        </w:tc>
        <w:tc>
          <w:tcPr/>
          <w:p>
            <w:pPr>
              <w:pStyle w:val="Compact"/>
              <w:jc w:val="left"/>
            </w:pPr>
            <w:r>
              <w:t xml:space="preserve">Forward-looking earnings dates with 5-day proximity flags; binary event risk for FDA, antitrust, etc.</w:t>
            </w:r>
          </w:p>
        </w:tc>
        <w:tc>
          <w:tcPr/>
          <w:p>
            <w:pPr>
              <w:pStyle w:val="Compact"/>
              <w:jc w:val="left"/>
            </w:pPr>
            <w:r>
              <w:t xml:space="preserve">IMPLEMENTED</w:t>
            </w:r>
          </w:p>
        </w:tc>
      </w:tr>
      <w:tr>
        <w:tc>
          <w:tcPr/>
          <w:p>
            <w:pPr>
              <w:pStyle w:val="Compact"/>
              <w:jc w:val="left"/>
            </w:pPr>
            <w:r>
              <w:t xml:space="preserve">17</w:t>
            </w:r>
          </w:p>
        </w:tc>
        <w:tc>
          <w:tcPr/>
          <w:p>
            <w:pPr>
              <w:pStyle w:val="Compact"/>
              <w:jc w:val="left"/>
            </w:pPr>
            <w:r>
              <w:t xml:space="preserve">Compute Scheduler Design</w:t>
            </w:r>
          </w:p>
        </w:tc>
        <w:tc>
          <w:tcPr/>
          <w:p>
            <w:pPr>
              <w:pStyle w:val="Compact"/>
              <w:jc w:val="left"/>
            </w:pPr>
            <w:r>
              <w:t xml:space="preserve">24/7 task orchestration with VRAM handoffs and GuardedScorer between-scan scoring</w:t>
            </w:r>
          </w:p>
        </w:tc>
        <w:tc>
          <w:tcPr/>
          <w:p>
            <w:pPr>
              <w:pStyle w:val="Compact"/>
              <w:jc w:val="left"/>
            </w:pPr>
            <w:r>
              <w:t xml:space="preserve">IMPLEMENTED</w:t>
            </w:r>
          </w:p>
        </w:tc>
      </w:tr>
      <w:tr>
        <w:tc>
          <w:tcPr/>
          <w:p>
            <w:pPr>
              <w:pStyle w:val="Compact"/>
              <w:jc w:val="left"/>
            </w:pPr>
            <w:r>
              <w:t xml:space="preserve">18</w:t>
            </w:r>
          </w:p>
        </w:tc>
        <w:tc>
          <w:tcPr/>
          <w:p>
            <w:pPr>
              <w:pStyle w:val="Compact"/>
              <w:jc w:val="left"/>
            </w:pPr>
            <w:r>
              <w:t xml:space="preserve">Regime Detection &amp; Adaptation</w:t>
            </w:r>
          </w:p>
        </w:tc>
        <w:tc>
          <w:tcPr/>
          <w:p>
            <w:pPr>
              <w:pStyle w:val="Compact"/>
              <w:jc w:val="left"/>
            </w:pPr>
            <w:r>
              <w:t xml:space="preserve">HMM-based regime detection with VIX term structure, credit spreads, and breadth indicators</w:t>
            </w:r>
          </w:p>
        </w:tc>
        <w:tc>
          <w:tcPr/>
          <w:p>
            <w:pPr>
              <w:pStyle w:val="Compact"/>
              <w:jc w:val="left"/>
            </w:pPr>
            <w:r>
              <w:t xml:space="preserve">PLANNED (Phase 2)</w:t>
            </w:r>
          </w:p>
        </w:tc>
      </w:tr>
      <w:tr>
        <w:tc>
          <w:tcPr/>
          <w:p>
            <w:pPr>
              <w:pStyle w:val="Compact"/>
              <w:jc w:val="left"/>
            </w:pPr>
            <w:r>
              <w:t xml:space="preserve">19</w:t>
            </w:r>
          </w:p>
        </w:tc>
        <w:tc>
          <w:tcPr/>
          <w:p>
            <w:pPr>
              <w:pStyle w:val="Compact"/>
              <w:jc w:val="left"/>
            </w:pPr>
            <w:r>
              <w:t xml:space="preserve">Options Data Collection Architecture</w:t>
            </w:r>
          </w:p>
        </w:tc>
        <w:tc>
          <w:tcPr/>
          <w:p>
            <w:pPr>
              <w:pStyle w:val="Compact"/>
              <w:jc w:val="left"/>
            </w:pPr>
            <w:r>
              <w:t xml:space="preserve">48,178 contracts/night; IV rank, put/call, skew, unusual activity metrics</w:t>
            </w:r>
          </w:p>
        </w:tc>
        <w:tc>
          <w:tcPr/>
          <w:p>
            <w:pPr>
              <w:pStyle w:val="Compact"/>
              <w:jc w:val="left"/>
            </w:pPr>
            <w:r>
              <w:t xml:space="preserve">IMPLEMENTED</w:t>
            </w:r>
          </w:p>
        </w:tc>
      </w:tr>
    </w:tbl>
    <w:bookmarkEnd w:id="53"/>
    <w:bookmarkStart w:id="59" w:name="appendix-key-numbers-at-a-glance"/>
    <w:p>
      <w:pPr>
        <w:pStyle w:val="Heading1"/>
      </w:pPr>
      <w:r>
        <w:t xml:space="preserve">12. Appendix: Key Numbers at a Glance</w:t>
      </w:r>
    </w:p>
    <w:bookmarkStart w:id="54" w:name="codebase"/>
    <w:p>
      <w:pPr>
        <w:pStyle w:val="Heading2"/>
      </w:pPr>
      <w:r>
        <w:t xml:space="preserve">Codebase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Python files</w:t>
            </w:r>
          </w:p>
        </w:tc>
        <w:tc>
          <w:tcPr/>
          <w:p>
            <w:pPr>
              <w:pStyle w:val="Compact"/>
              <w:jc w:val="left"/>
            </w:pPr>
            <w:r>
              <w:t xml:space="preserve">105</w:t>
            </w:r>
          </w:p>
        </w:tc>
      </w:tr>
      <w:tr>
        <w:tc>
          <w:tcPr/>
          <w:p>
            <w:pPr>
              <w:pStyle w:val="Compact"/>
              <w:jc w:val="left"/>
            </w:pPr>
            <w:r>
              <w:t xml:space="preserve">Lines of code</w:t>
            </w:r>
          </w:p>
        </w:tc>
        <w:tc>
          <w:tcPr/>
          <w:p>
            <w:pPr>
              <w:pStyle w:val="Compact"/>
              <w:jc w:val="left"/>
            </w:pPr>
            <w:r>
              <w:t xml:space="preserve">16,951</w:t>
            </w:r>
          </w:p>
        </w:tc>
      </w:tr>
      <w:tr>
        <w:tc>
          <w:tcPr/>
          <w:p>
            <w:pPr>
              <w:pStyle w:val="Compact"/>
              <w:jc w:val="left"/>
            </w:pPr>
            <w:r>
              <w:t xml:space="preserve">Test files</w:t>
            </w:r>
          </w:p>
        </w:tc>
        <w:tc>
          <w:tcPr/>
          <w:p>
            <w:pPr>
              <w:pStyle w:val="Compact"/>
              <w:jc w:val="left"/>
            </w:pPr>
            <w:r>
              <w:t xml:space="preserve">39</w:t>
            </w:r>
          </w:p>
        </w:tc>
      </w:tr>
      <w:tr>
        <w:tc>
          <w:tcPr/>
          <w:p>
            <w:pPr>
              <w:pStyle w:val="Compact"/>
              <w:jc w:val="left"/>
            </w:pPr>
            <w:r>
              <w:t xml:space="preserve">Automated tests</w:t>
            </w:r>
          </w:p>
        </w:tc>
        <w:tc>
          <w:tcPr/>
          <w:p>
            <w:pPr>
              <w:pStyle w:val="Compact"/>
              <w:jc w:val="left"/>
            </w:pPr>
            <w:r>
              <w:t xml:space="preserve">363</w:t>
            </w:r>
          </w:p>
        </w:tc>
      </w:tr>
      <w:tr>
        <w:tc>
          <w:tcPr/>
          <w:p>
            <w:pPr>
              <w:pStyle w:val="Compact"/>
              <w:jc w:val="left"/>
            </w:pPr>
            <w:r>
              <w:t xml:space="preserve">SQLite tables</w:t>
            </w:r>
          </w:p>
        </w:tc>
        <w:tc>
          <w:tcPr/>
          <w:p>
            <w:pPr>
              <w:pStyle w:val="Compact"/>
              <w:jc w:val="left"/>
            </w:pPr>
            <w:r>
              <w:t xml:space="preserve">16</w:t>
            </w:r>
          </w:p>
        </w:tc>
      </w:tr>
      <w:tr>
        <w:tc>
          <w:tcPr/>
          <w:p>
            <w:pPr>
              <w:pStyle w:val="Compact"/>
              <w:jc w:val="left"/>
            </w:pPr>
            <w:r>
              <w:t xml:space="preserve">API endpoints</w:t>
            </w:r>
          </w:p>
        </w:tc>
        <w:tc>
          <w:tcPr/>
          <w:p>
            <w:pPr>
              <w:pStyle w:val="Compact"/>
              <w:jc w:val="left"/>
            </w:pPr>
            <w:r>
              <w:t xml:space="preserve">47</w:t>
            </w:r>
          </w:p>
        </w:tc>
      </w:tr>
      <w:tr>
        <w:tc>
          <w:tcPr/>
          <w:p>
            <w:pPr>
              <w:pStyle w:val="Compact"/>
              <w:jc w:val="left"/>
            </w:pPr>
            <w:r>
              <w:t xml:space="preserve">CLI commands</w:t>
            </w:r>
          </w:p>
        </w:tc>
        <w:tc>
          <w:tcPr/>
          <w:p>
            <w:pPr>
              <w:pStyle w:val="Compact"/>
              <w:jc w:val="left"/>
            </w:pPr>
            <w:r>
              <w:t xml:space="preserve">45</w:t>
            </w:r>
          </w:p>
        </w:tc>
      </w:tr>
      <w:tr>
        <w:tc>
          <w:tcPr/>
          <w:p>
            <w:pPr>
              <w:pStyle w:val="Compact"/>
              <w:jc w:val="left"/>
            </w:pPr>
            <w:r>
              <w:t xml:space="preserve">React dashboard pages</w:t>
            </w:r>
          </w:p>
        </w:tc>
        <w:tc>
          <w:tcPr/>
          <w:p>
            <w:pPr>
              <w:pStyle w:val="Compact"/>
              <w:jc w:val="left"/>
            </w:pPr>
            <w:r>
              <w:t xml:space="preserve">9</w:t>
            </w:r>
          </w:p>
        </w:tc>
      </w:tr>
      <w:tr>
        <w:tc>
          <w:tcPr/>
          <w:p>
            <w:pPr>
              <w:pStyle w:val="Compact"/>
              <w:jc w:val="left"/>
            </w:pPr>
            <w:r>
              <w:t xml:space="preserve">Documentation pages</w:t>
            </w:r>
          </w:p>
        </w:tc>
        <w:tc>
          <w:tcPr/>
          <w:p>
            <w:pPr>
              <w:pStyle w:val="Compact"/>
              <w:jc w:val="left"/>
            </w:pPr>
            <w:r>
              <w:t xml:space="preserve">24</w:t>
            </w:r>
          </w:p>
        </w:tc>
      </w:tr>
      <w:tr>
        <w:tc>
          <w:tcPr/>
          <w:p>
            <w:pPr>
              <w:pStyle w:val="Compact"/>
              <w:jc w:val="left"/>
            </w:pPr>
            <w:r>
              <w:t xml:space="preserve">Research documents</w:t>
            </w:r>
          </w:p>
        </w:tc>
        <w:tc>
          <w:tcPr/>
          <w:p>
            <w:pPr>
              <w:pStyle w:val="Compact"/>
              <w:jc w:val="left"/>
            </w:pPr>
            <w:r>
              <w:t xml:space="preserve">19</w:t>
            </w:r>
          </w:p>
        </w:tc>
      </w:tr>
    </w:tbl>
    <w:bookmarkEnd w:id="54"/>
    <w:bookmarkStart w:id="55" w:name="training-data"/>
    <w:p>
      <w:pPr>
        <w:pStyle w:val="Heading2"/>
      </w:pPr>
      <w:r>
        <w:t xml:space="preserve">Training 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Initial training examples</w:t>
            </w:r>
          </w:p>
        </w:tc>
        <w:tc>
          <w:tcPr/>
          <w:p>
            <w:pPr>
              <w:pStyle w:val="Compact"/>
              <w:jc w:val="left"/>
            </w:pPr>
            <w:r>
              <w:t xml:space="preserve">790 (self-blinded, synthetic)</w:t>
            </w:r>
          </w:p>
        </w:tc>
      </w:tr>
      <w:tr>
        <w:tc>
          <w:tcPr/>
          <w:p>
            <w:pPr>
              <w:pStyle w:val="Compact"/>
              <w:jc w:val="left"/>
            </w:pPr>
            <w:r>
              <w:t xml:space="preserve">Target dataset (Phase 1 exit)</w:t>
            </w:r>
          </w:p>
        </w:tc>
        <w:tc>
          <w:tcPr/>
          <w:p>
            <w:pPr>
              <w:pStyle w:val="Compact"/>
              <w:jc w:val="left"/>
            </w:pPr>
            <w:r>
              <w:t xml:space="preserve">2,000–3,000</w:t>
            </w:r>
          </w:p>
        </w:tc>
      </w:tr>
      <w:tr>
        <w:tc>
          <w:tcPr/>
          <w:p>
            <w:pPr>
              <w:pStyle w:val="Compact"/>
              <w:jc w:val="left"/>
            </w:pPr>
            <w:r>
              <w:t xml:space="preserve">Sweet spot (literature)</w:t>
            </w:r>
          </w:p>
        </w:tc>
        <w:tc>
          <w:tcPr/>
          <w:p>
            <w:pPr>
              <w:pStyle w:val="Compact"/>
              <w:jc w:val="left"/>
            </w:pPr>
            <w:r>
              <w:t xml:space="preserve">3,000–5,000</w:t>
            </w:r>
          </w:p>
        </w:tc>
      </w:tr>
      <w:tr>
        <w:tc>
          <w:tcPr/>
          <w:p>
            <w:pPr>
              <w:pStyle w:val="Compact"/>
              <w:jc w:val="left"/>
            </w:pPr>
            <w:r>
              <w:t xml:space="preserve">Weekly production rate</w:t>
            </w:r>
          </w:p>
        </w:tc>
        <w:tc>
          <w:tcPr/>
          <w:p>
            <w:pPr>
              <w:pStyle w:val="Compact"/>
              <w:jc w:val="left"/>
            </w:pPr>
            <w:r>
              <w:t xml:space="preserve">~1,450 scored examples</w:t>
            </w:r>
          </w:p>
        </w:tc>
      </w:tr>
      <w:tr>
        <w:tc>
          <w:tcPr/>
          <w:p>
            <w:pPr>
              <w:pStyle w:val="Compact"/>
              <w:jc w:val="left"/>
            </w:pPr>
            <w:r>
              <w:t xml:space="preserve">DPO pairs per week</w:t>
            </w:r>
          </w:p>
        </w:tc>
        <w:tc>
          <w:tcPr/>
          <w:p>
            <w:pPr>
              <w:pStyle w:val="Compact"/>
              <w:jc w:val="left"/>
            </w:pPr>
            <w:r>
              <w:t xml:space="preserve">~75</w:t>
            </w:r>
          </w:p>
        </w:tc>
      </w:tr>
      <w:tr>
        <w:tc>
          <w:tcPr/>
          <w:p>
            <w:pPr>
              <w:pStyle w:val="Compact"/>
              <w:jc w:val="left"/>
            </w:pPr>
            <w:r>
              <w:t xml:space="preserve">Quality rubric dimensions</w:t>
            </w:r>
          </w:p>
        </w:tc>
        <w:tc>
          <w:tcPr/>
          <w:p>
            <w:pPr>
              <w:pStyle w:val="Compact"/>
              <w:jc w:val="left"/>
            </w:pPr>
            <w:r>
              <w:t xml:space="preserve">6</w:t>
            </w:r>
          </w:p>
        </w:tc>
      </w:tr>
      <w:tr>
        <w:tc>
          <w:tcPr/>
          <w:p>
            <w:pPr>
              <w:pStyle w:val="Compact"/>
              <w:jc w:val="left"/>
            </w:pPr>
            <w:r>
              <w:t xml:space="preserve">Leakage detection threshold</w:t>
            </w:r>
          </w:p>
        </w:tc>
        <w:tc>
          <w:tcPr/>
          <w:p>
            <w:pPr>
              <w:pStyle w:val="Compact"/>
              <w:jc w:val="left"/>
            </w:pPr>
            <w:r>
              <w:t xml:space="preserve">55% classifier accuracy</w:t>
            </w:r>
          </w:p>
        </w:tc>
      </w:tr>
    </w:tbl>
    <w:bookmarkEnd w:id="55"/>
    <w:bookmarkStart w:id="56" w:name="X1dda3019c6b2611d4d83256f7eeb54bd0f99d78"/>
    <w:p>
      <w:pPr>
        <w:pStyle w:val="Heading2"/>
      </w:pPr>
      <w:r>
        <w:t xml:space="preserve">Financial projections summary (base case, Sharpe 1.5)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Capital</w:t>
            </w:r>
          </w:p>
        </w:tc>
        <w:tc>
          <w:tcPr/>
          <w:p>
            <w:pPr>
              <w:pStyle w:val="Compact"/>
              <w:jc w:val="left"/>
            </w:pPr>
            <w:r>
              <w:t xml:space="preserve">Net Income/yr</w:t>
            </w:r>
          </w:p>
        </w:tc>
        <w:tc>
          <w:tcPr/>
          <w:p>
            <w:pPr>
              <w:pStyle w:val="Compact"/>
              <w:jc w:val="left"/>
            </w:pPr>
            <w:r>
              <w:t xml:space="preserve">Operating Cost/yr</w:t>
            </w:r>
          </w:p>
        </w:tc>
      </w:tr>
      <w:tr>
        <w:tc>
          <w:tcPr/>
          <w:p>
            <w:pPr>
              <w:pStyle w:val="Compact"/>
              <w:jc w:val="left"/>
            </w:pPr>
            <w:r>
              <w:t xml:space="preserve">Phase 1 (paper)</w:t>
            </w:r>
          </w:p>
        </w:tc>
        <w:tc>
          <w:tcPr/>
          <w:p>
            <w:pPr>
              <w:pStyle w:val="Compact"/>
              <w:jc w:val="left"/>
            </w:pPr>
            <w:r>
              <w:t xml:space="preserve">$100K paper</w:t>
            </w:r>
          </w:p>
        </w:tc>
        <w:tc>
          <w:tcPr/>
          <w:p>
            <w:pPr>
              <w:pStyle w:val="Compact"/>
              <w:jc w:val="left"/>
            </w:pPr>
            <w:r>
              <w:t xml:space="preserve">-$480</w:t>
            </w:r>
          </w:p>
        </w:tc>
        <w:tc>
          <w:tcPr/>
          <w:p>
            <w:pPr>
              <w:pStyle w:val="Compact"/>
              <w:jc w:val="left"/>
            </w:pPr>
            <w:r>
              <w:t xml:space="preserve">$480</w:t>
            </w:r>
          </w:p>
        </w:tc>
      </w:tr>
      <w:tr>
        <w:tc>
          <w:tcPr/>
          <w:p>
            <w:pPr>
              <w:pStyle w:val="Compact"/>
              <w:jc w:val="left"/>
            </w:pPr>
            <w:r>
              <w:t xml:space="preserve">Phase 2 ($5K live)</w:t>
            </w:r>
          </w:p>
        </w:tc>
        <w:tc>
          <w:tcPr/>
          <w:p>
            <w:pPr>
              <w:pStyle w:val="Compact"/>
              <w:jc w:val="left"/>
            </w:pPr>
            <w:r>
              <w:t xml:space="preserve">$5,000</w:t>
            </w:r>
          </w:p>
        </w:tc>
        <w:tc>
          <w:tcPr/>
          <w:p>
            <w:pPr>
              <w:pStyle w:val="Compact"/>
              <w:jc w:val="left"/>
            </w:pPr>
            <w:r>
              <w:t xml:space="preserve">-$2,500</w:t>
            </w:r>
          </w:p>
        </w:tc>
        <w:tc>
          <w:tcPr/>
          <w:p>
            <w:pPr>
              <w:pStyle w:val="Compact"/>
              <w:jc w:val="left"/>
            </w:pPr>
            <w:r>
              <w:t xml:space="preserve">$3,600</w:t>
            </w:r>
          </w:p>
        </w:tc>
      </w:tr>
      <w:tr>
        <w:tc>
          <w:tcPr/>
          <w:p>
            <w:pPr>
              <w:pStyle w:val="Compact"/>
              <w:jc w:val="left"/>
            </w:pPr>
            <w:r>
              <w:t xml:space="preserve">Phase 3 ($25K)</w:t>
            </w:r>
          </w:p>
        </w:tc>
        <w:tc>
          <w:tcPr/>
          <w:p>
            <w:pPr>
              <w:pStyle w:val="Compact"/>
              <w:jc w:val="left"/>
            </w:pPr>
            <w:r>
              <w:t xml:space="preserve">$25,000</w:t>
            </w:r>
          </w:p>
        </w:tc>
        <w:tc>
          <w:tcPr/>
          <w:p>
            <w:pPr>
              <w:pStyle w:val="Compact"/>
              <w:jc w:val="left"/>
            </w:pPr>
            <w:r>
              <w:t xml:space="preserve">$1,300</w:t>
            </w:r>
          </w:p>
        </w:tc>
        <w:tc>
          <w:tcPr/>
          <w:p>
            <w:pPr>
              <w:pStyle w:val="Compact"/>
              <w:jc w:val="left"/>
            </w:pPr>
            <w:r>
              <w:t xml:space="preserve">$4,200</w:t>
            </w:r>
          </w:p>
        </w:tc>
      </w:tr>
      <w:tr>
        <w:tc>
          <w:tcPr/>
          <w:p>
            <w:pPr>
              <w:pStyle w:val="Compact"/>
              <w:jc w:val="left"/>
            </w:pPr>
            <w:r>
              <w:t xml:space="preserve">Phase 4 ($100K)</w:t>
            </w:r>
          </w:p>
        </w:tc>
        <w:tc>
          <w:tcPr/>
          <w:p>
            <w:pPr>
              <w:pStyle w:val="Compact"/>
              <w:jc w:val="left"/>
            </w:pPr>
            <w:r>
              <w:t xml:space="preserve">$100,000</w:t>
            </w:r>
          </w:p>
        </w:tc>
        <w:tc>
          <w:tcPr/>
          <w:p>
            <w:pPr>
              <w:pStyle w:val="Compact"/>
              <w:jc w:val="left"/>
            </w:pPr>
            <w:r>
              <w:t xml:space="preserve">$16,000</w:t>
            </w:r>
          </w:p>
        </w:tc>
        <w:tc>
          <w:tcPr/>
          <w:p>
            <w:pPr>
              <w:pStyle w:val="Compact"/>
              <w:jc w:val="left"/>
            </w:pPr>
            <w:r>
              <w:t xml:space="preserve">$6,000</w:t>
            </w:r>
          </w:p>
        </w:tc>
      </w:tr>
      <w:tr>
        <w:tc>
          <w:tcPr/>
          <w:p>
            <w:pPr>
              <w:pStyle w:val="Compact"/>
              <w:jc w:val="left"/>
            </w:pPr>
            <w:r>
              <w:t xml:space="preserve">Phase 5 ($3M AUM)</w:t>
            </w:r>
          </w:p>
        </w:tc>
        <w:tc>
          <w:tcPr/>
          <w:p>
            <w:pPr>
              <w:pStyle w:val="Compact"/>
              <w:jc w:val="left"/>
            </w:pPr>
            <w:r>
              <w:t xml:space="preserve">$3,000,000</w:t>
            </w:r>
          </w:p>
        </w:tc>
        <w:tc>
          <w:tcPr/>
          <w:p>
            <w:pPr>
              <w:pStyle w:val="Compact"/>
              <w:jc w:val="left"/>
            </w:pPr>
            <w:r>
              <w:t xml:space="preserve">$560,000</w:t>
            </w:r>
          </w:p>
        </w:tc>
        <w:tc>
          <w:tcPr/>
          <w:p>
            <w:pPr>
              <w:pStyle w:val="Compact"/>
              <w:jc w:val="left"/>
            </w:pPr>
            <w:r>
              <w:t xml:space="preserve">$100,000</w:t>
            </w:r>
          </w:p>
        </w:tc>
      </w:tr>
    </w:tbl>
    <w:bookmarkEnd w:id="56"/>
    <w:bookmarkStart w:id="57" w:name="hardware-plan"/>
    <w:p>
      <w:pPr>
        <w:pStyle w:val="Heading2"/>
      </w:pPr>
      <w:r>
        <w:t xml:space="preserve">Hardware plan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GPU</w:t>
            </w:r>
          </w:p>
        </w:tc>
        <w:tc>
          <w:tcPr/>
          <w:p>
            <w:pPr>
              <w:pStyle w:val="Compact"/>
              <w:jc w:val="left"/>
            </w:pPr>
            <w:r>
              <w:t xml:space="preserve">VRAM</w:t>
            </w:r>
          </w:p>
        </w:tc>
        <w:tc>
          <w:tcPr/>
          <w:p>
            <w:pPr>
              <w:pStyle w:val="Compact"/>
              <w:jc w:val="left"/>
            </w:pPr>
            <w:r>
              <w:t xml:space="preserve">Storage</w:t>
            </w:r>
          </w:p>
        </w:tc>
        <w:tc>
          <w:tcPr/>
          <w:p>
            <w:pPr>
              <w:pStyle w:val="Compact"/>
              <w:jc w:val="left"/>
            </w:pPr>
            <w:r>
              <w:t xml:space="preserve">Cost</w:t>
            </w:r>
          </w:p>
        </w:tc>
      </w:tr>
      <w:tr>
        <w:tc>
          <w:tcPr/>
          <w:p>
            <w:pPr>
              <w:pStyle w:val="Compact"/>
              <w:jc w:val="left"/>
            </w:pPr>
            <w:r>
              <w:t xml:space="preserve">Current</w:t>
            </w:r>
          </w:p>
        </w:tc>
        <w:tc>
          <w:tcPr/>
          <w:p>
            <w:pPr>
              <w:pStyle w:val="Compact"/>
              <w:jc w:val="left"/>
            </w:pPr>
            <w:r>
              <w:t xml:space="preserve">RTX 3060</w:t>
            </w:r>
          </w:p>
        </w:tc>
        <w:tc>
          <w:tcPr/>
          <w:p>
            <w:pPr>
              <w:pStyle w:val="Compact"/>
              <w:jc w:val="left"/>
            </w:pPr>
            <w:r>
              <w:t xml:space="preserve">12 GB</w:t>
            </w:r>
          </w:p>
        </w:tc>
        <w:tc>
          <w:tcPr/>
          <w:p>
            <w:pPr>
              <w:pStyle w:val="Compact"/>
              <w:jc w:val="left"/>
            </w:pPr>
            <w:r>
              <w:t xml:space="preserve">~500 GB NVMe</w:t>
            </w:r>
          </w:p>
        </w:tc>
        <w:tc>
          <w:tcPr/>
          <w:p>
            <w:pPr>
              <w:pStyle w:val="Compact"/>
              <w:jc w:val="left"/>
            </w:pPr>
            <w:r>
              <w:t xml:space="preserve">$0 (owned)</w:t>
            </w:r>
          </w:p>
        </w:tc>
      </w:tr>
      <w:tr>
        <w:tc>
          <w:tcPr/>
          <w:p>
            <w:pPr>
              <w:pStyle w:val="Compact"/>
              <w:jc w:val="left"/>
            </w:pPr>
            <w:r>
              <w:t xml:space="preserve">Phase 2</w:t>
            </w:r>
          </w:p>
        </w:tc>
        <w:tc>
          <w:tcPr/>
          <w:p>
            <w:pPr>
              <w:pStyle w:val="Compact"/>
              <w:jc w:val="left"/>
            </w:pPr>
            <w:r>
              <w:t xml:space="preserve">RTX 3090</w:t>
            </w:r>
          </w:p>
        </w:tc>
        <w:tc>
          <w:tcPr/>
          <w:p>
            <w:pPr>
              <w:pStyle w:val="Compact"/>
              <w:jc w:val="left"/>
            </w:pPr>
            <w:r>
              <w:t xml:space="preserve">24 GB</w:t>
            </w:r>
          </w:p>
        </w:tc>
        <w:tc>
          <w:tcPr/>
          <w:p>
            <w:pPr>
              <w:pStyle w:val="Compact"/>
              <w:jc w:val="left"/>
            </w:pPr>
            <w:r>
              <w:t xml:space="preserve">2 TB NVMe</w:t>
            </w:r>
          </w:p>
        </w:tc>
        <w:tc>
          <w:tcPr/>
          <w:p>
            <w:pPr>
              <w:pStyle w:val="Compact"/>
              <w:jc w:val="left"/>
            </w:pPr>
            <w:r>
              <w:t xml:space="preserve">~$800 + $200</w:t>
            </w:r>
          </w:p>
        </w:tc>
      </w:tr>
      <w:tr>
        <w:tc>
          <w:tcPr/>
          <w:p>
            <w:pPr>
              <w:pStyle w:val="Compact"/>
              <w:jc w:val="left"/>
            </w:pPr>
            <w:r>
              <w:t xml:space="preserve">Fund stage</w:t>
            </w:r>
          </w:p>
        </w:tc>
        <w:tc>
          <w:tcPr/>
          <w:p>
            <w:pPr>
              <w:pStyle w:val="Compact"/>
              <w:jc w:val="left"/>
            </w:pPr>
            <w:r>
              <w:t xml:space="preserve">RTX 4090 or dual GPU</w:t>
            </w:r>
          </w:p>
        </w:tc>
        <w:tc>
          <w:tcPr/>
          <w:p>
            <w:pPr>
              <w:pStyle w:val="Compact"/>
              <w:jc w:val="left"/>
            </w:pPr>
            <w:r>
              <w:t xml:space="preserve">24–48 GB</w:t>
            </w:r>
          </w:p>
        </w:tc>
        <w:tc>
          <w:tcPr/>
          <w:p>
            <w:pPr>
              <w:pStyle w:val="Compact"/>
              <w:jc w:val="left"/>
            </w:pPr>
            <w:r>
              <w:t xml:space="preserve">4 TB NVMe + cloud backup</w:t>
            </w:r>
          </w:p>
        </w:tc>
        <w:tc>
          <w:tcPr/>
          <w:p>
            <w:pPr>
              <w:pStyle w:val="Compact"/>
              <w:jc w:val="left"/>
            </w:pPr>
            <w:r>
              <w:t xml:space="preserve">~$2,000–$3,000</w:t>
            </w:r>
          </w:p>
        </w:tc>
      </w:tr>
    </w:tbl>
    <w:bookmarkEnd w:id="57"/>
    <w:bookmarkStart w:id="58" w:name="data-subscription-plan"/>
    <w:p>
      <w:pPr>
        <w:pStyle w:val="Heading2"/>
      </w:pPr>
      <w:r>
        <w:t xml:space="preserve">Data subscription plan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Sources</w:t>
            </w:r>
          </w:p>
        </w:tc>
        <w:tc>
          <w:tcPr/>
          <w:p>
            <w:pPr>
              <w:pStyle w:val="Compact"/>
              <w:jc w:val="left"/>
            </w:pPr>
            <w:r>
              <w:t xml:space="preserve">Monthly Cost</w:t>
            </w:r>
          </w:p>
        </w:tc>
      </w:tr>
      <w:tr>
        <w:tc>
          <w:tcPr/>
          <w:p>
            <w:pPr>
              <w:pStyle w:val="Compact"/>
              <w:jc w:val="left"/>
            </w:pPr>
            <w:r>
              <w:t xml:space="preserve">Phase 1</w:t>
            </w:r>
          </w:p>
        </w:tc>
        <w:tc>
          <w:tcPr/>
          <w:p>
            <w:pPr>
              <w:pStyle w:val="Compact"/>
              <w:jc w:val="left"/>
            </w:pPr>
            <w:r>
              <w:t xml:space="preserve">yfinance (free), Claude API Haiku, FRED, Finnhub free tier</w:t>
            </w:r>
          </w:p>
        </w:tc>
        <w:tc>
          <w:tcPr/>
          <w:p>
            <w:pPr>
              <w:pStyle w:val="Compact"/>
              <w:jc w:val="left"/>
            </w:pPr>
            <w:r>
              <w:t xml:space="preserve">~$5</w:t>
            </w:r>
          </w:p>
        </w:tc>
      </w:tr>
      <w:tr>
        <w:tc>
          <w:tcPr/>
          <w:p>
            <w:pPr>
              <w:pStyle w:val="Compact"/>
              <w:jc w:val="left"/>
            </w:pPr>
            <w:r>
              <w:t xml:space="preserve">Phase 2</w:t>
            </w:r>
          </w:p>
        </w:tc>
        <w:tc>
          <w:tcPr/>
          <w:p>
            <w:pPr>
              <w:pStyle w:val="Compact"/>
              <w:jc w:val="left"/>
            </w:pPr>
            <w:r>
              <w:t xml:space="preserve">+ Polygon.io Starter</w:t>
            </w:r>
          </w:p>
        </w:tc>
        <w:tc>
          <w:tcPr/>
          <w:p>
            <w:pPr>
              <w:pStyle w:val="Compact"/>
              <w:jc w:val="left"/>
            </w:pPr>
            <w:r>
              <w:t xml:space="preserve">~$35</w:t>
            </w:r>
          </w:p>
        </w:tc>
      </w:tr>
      <w:tr>
        <w:tc>
          <w:tcPr/>
          <w:p>
            <w:pPr>
              <w:pStyle w:val="Compact"/>
              <w:jc w:val="left"/>
            </w:pPr>
            <w:r>
              <w:t xml:space="preserve">Phase 3</w:t>
            </w:r>
          </w:p>
        </w:tc>
        <w:tc>
          <w:tcPr/>
          <w:p>
            <w:pPr>
              <w:pStyle w:val="Compact"/>
              <w:jc w:val="left"/>
            </w:pPr>
            <w:r>
              <w:t xml:space="preserve">+ Unusual Whales ($50/mo)</w:t>
            </w:r>
          </w:p>
        </w:tc>
        <w:tc>
          <w:tcPr/>
          <w:p>
            <w:pPr>
              <w:pStyle w:val="Compact"/>
              <w:jc w:val="left"/>
            </w:pPr>
            <w:r>
              <w:t xml:space="preserve">~$85</w:t>
            </w:r>
          </w:p>
        </w:tc>
      </w:tr>
      <w:tr>
        <w:tc>
          <w:tcPr/>
          <w:p>
            <w:pPr>
              <w:pStyle w:val="Compact"/>
              <w:jc w:val="left"/>
            </w:pPr>
            <w:r>
              <w:t xml:space="preserve">Fund</w:t>
            </w:r>
          </w:p>
        </w:tc>
        <w:tc>
          <w:tcPr/>
          <w:p>
            <w:pPr>
              <w:pStyle w:val="Compact"/>
              <w:jc w:val="left"/>
            </w:pPr>
            <w:r>
              <w:t xml:space="preserve">+ Bloomberg B-PIPE or Refinitiv</w:t>
            </w:r>
          </w:p>
        </w:tc>
        <w:tc>
          <w:tcPr/>
          <w:p>
            <w:pPr>
              <w:pStyle w:val="Compact"/>
              <w:jc w:val="left"/>
            </w:pPr>
            <w:r>
              <w:t xml:space="preserve">$1,000–$2,000</w:t>
            </w:r>
          </w:p>
        </w:tc>
      </w:tr>
    </w:tbl>
    <w:bookmarkEnd w:id="58"/>
    <w:bookmarkEnd w:id="59"/>
    <w:bookmarkStart w:id="69" w:name="gap-analysis-corrective-actions"/>
    <w:p>
      <w:pPr>
        <w:pStyle w:val="Heading1"/>
      </w:pPr>
      <w:r>
        <w:t xml:space="preserve">13. Gap Analysis &amp; Corrective Actions</w:t>
      </w:r>
    </w:p>
    <w:p>
      <w:pPr>
        <w:pStyle w:val="FirstParagraph"/>
      </w:pPr>
      <w:r>
        <w:t xml:space="preserve">This section is the most valuable in the document. It identifies every hole, weakness, blind spot, and missing piece—organized by category with specific corrective actions.</w:t>
      </w:r>
    </w:p>
    <w:bookmarkStart w:id="60" w:name="strategic-gaps"/>
    <w:p>
      <w:pPr>
        <w:pStyle w:val="Heading2"/>
      </w:pPr>
      <w:r>
        <w:t xml:space="preserve">Strategic Gaps</w:t>
      </w:r>
    </w:p>
    <w:p>
      <w:pPr>
        <w:pStyle w:val="FirstParagraph"/>
      </w:pPr>
      <w:r>
        <w:rPr>
          <w:bCs/>
          <w:b/>
        </w:rPr>
        <w:t xml:space="preserve">Gap S1: Sharpe assumptions may be optimistic.</w:t>
      </w:r>
      <w:r>
        <w:t xml:space="preserve"> </w:t>
      </w:r>
      <w:r>
        <w:t xml:space="preserve">The base-case Sharpe of 1.5 is in the top quartile of systematic equity strategies. The median hedge fund Sharpe is 0.86 (HFR data). While Trading-R1’s 2.72 Sharpe on individual names is encouraging, that result was achieved on a carefully selected subset of 14 high-momentum stocks, not a broad universe. A more defensible planning assumption for investor conversations is Sharpe 1.0, with 1.5 as an aspiration. At Sharpe 0.7, fund break-even extends to ~$4M AUM and the timeline stretches by 2–3 years.</w:t>
      </w:r>
    </w:p>
    <w:p>
      <w:pPr>
        <w:pStyle w:val="BodyText"/>
      </w:pPr>
      <w:r>
        <w:rPr>
          <w:iCs/>
          <w:i/>
        </w:rPr>
        <w:t xml:space="preserve">Severity: Medium. When: Before investor conversations. Action: Prepare financial models at Sharpe 0.7, 1.0, and 1.5 with explicit sensitivity tables. Present the 1.0 case as</w:t>
      </w:r>
      <w:r>
        <w:rPr>
          <w:iCs/>
          <w:i/>
        </w:rPr>
        <w:t xml:space="preserve"> </w:t>
      </w:r>
      <w:r>
        <w:rPr>
          <w:iCs/>
          <w:i/>
        </w:rPr>
        <w:t xml:space="preserve">“</w:t>
      </w:r>
      <w:r>
        <w:rPr>
          <w:iCs/>
          <w:i/>
        </w:rPr>
        <w:t xml:space="preserve">base</w:t>
      </w:r>
      <w:r>
        <w:rPr>
          <w:iCs/>
          <w:i/>
        </w:rPr>
        <w:t xml:space="preserve">”</w:t>
      </w:r>
      <w:r>
        <w:rPr>
          <w:iCs/>
          <w:i/>
        </w:rPr>
        <w:t xml:space="preserve"> </w:t>
      </w:r>
      <w:r>
        <w:rPr>
          <w:iCs/>
          <w:i/>
        </w:rPr>
        <w:t xml:space="preserve">and 1.5 as</w:t>
      </w:r>
      <w:r>
        <w:rPr>
          <w:iCs/>
          <w:i/>
        </w:rPr>
        <w:t xml:space="preserve"> </w:t>
      </w:r>
      <w:r>
        <w:rPr>
          <w:iCs/>
          <w:i/>
        </w:rPr>
        <w:t xml:space="preserve">“</w:t>
      </w:r>
      <w:r>
        <w:rPr>
          <w:iCs/>
          <w:i/>
        </w:rPr>
        <w:t xml:space="preserve">target.</w:t>
      </w:r>
      <w:r>
        <w:rPr>
          <w:iCs/>
          <w:i/>
        </w:rPr>
        <w:t xml:space="preserve">”</w:t>
      </w:r>
      <w:r>
        <w:rPr>
          <w:iCs/>
          <w:i/>
        </w:rPr>
        <w:t xml:space="preserve"> </w:t>
      </w:r>
      <w:r>
        <w:rPr>
          <w:iCs/>
          <w:i/>
        </w:rPr>
        <w:t xml:space="preserve">Effort: 2 hours.</w:t>
      </w:r>
    </w:p>
    <w:p>
      <w:pPr>
        <w:pStyle w:val="BodyText"/>
      </w:pPr>
      <w:r>
        <w:rPr>
          <w:bCs/>
          <w:b/>
        </w:rPr>
        <w:t xml:space="preserve">Gap S2: Single strategy risk during Phase 1–2.</w:t>
      </w:r>
      <w:r>
        <w:t xml:space="preserve"> </w:t>
      </w:r>
      <w:r>
        <w:t xml:space="preserve">A prolonged bear market or regime where the S&amp;P 100 produces zero qualified uptrending pullback setups could last 6–18 months (2008: ~14 months, 2022: ~9 months). During this period, the system generates zero trades, zero P&amp;L, and limited training data. The PASS-heavy mode helps the model learn, but revenue stops.</w:t>
      </w:r>
    </w:p>
    <w:p>
      <w:pPr>
        <w:pStyle w:val="BodyText"/>
      </w:pPr>
      <w:r>
        <w:rPr>
          <w:iCs/>
          <w:i/>
        </w:rPr>
        <w:t xml:space="preserve">Severity: High. When: Phase 2. Action: Implement formal regime detection (HMM-based, using VIX term structure + credit spreads + breadth) that explicitly tracks</w:t>
      </w:r>
      <w:r>
        <w:rPr>
          <w:iCs/>
          <w:i/>
        </w:rPr>
        <w:t xml:space="preserve"> </w:t>
      </w:r>
      <w:r>
        <w:rPr>
          <w:iCs/>
          <w:i/>
        </w:rPr>
        <w:t xml:space="preserve">“</w:t>
      </w:r>
      <w:r>
        <w:rPr>
          <w:iCs/>
          <w:i/>
        </w:rPr>
        <w:t xml:space="preserve">drought duration</w:t>
      </w:r>
      <w:r>
        <w:rPr>
          <w:iCs/>
          <w:i/>
        </w:rPr>
        <w:t xml:space="preserve">”</w:t>
      </w:r>
      <w:r>
        <w:rPr>
          <w:iCs/>
          <w:i/>
        </w:rPr>
        <w:t xml:space="preserve"> </w:t>
      </w:r>
      <w:r>
        <w:rPr>
          <w:iCs/>
          <w:i/>
        </w:rPr>
        <w:t xml:space="preserve">and adjusts operating costs downward. Begin Research Desk (Phase 2) as early as possible to generate training data even in low-opportunity environments. Effort: 2 weeks for HMM implementation.</w:t>
      </w:r>
    </w:p>
    <w:p>
      <w:pPr>
        <w:pStyle w:val="BodyText"/>
      </w:pPr>
      <w:r>
        <w:rPr>
          <w:bCs/>
          <w:b/>
        </w:rPr>
        <w:t xml:space="preserve">Gap S3: The timeline from paper to fund is 3–5 years.</w:t>
      </w:r>
      <w:r>
        <w:t xml:space="preserve"> </w:t>
      </w:r>
      <w:r>
        <w:t xml:space="preserve">Solo quant funds face a 50–60% attrition rate within 5 years (Preqin data). The most common causes of death are: (1) insufficient capital to sustain operations during drawdowns, (2) key-person burnout, (3) inability to raise AUM above break-even threshold, and (4) strategy decay without adaptation. Halcyon Lab’s mitigation (low operating costs, multi-desk diversification, continuous retraining) addresses all four, but the timeline requires sustained commitment through a period where the financial return on time invested is deeply negative.</w:t>
      </w:r>
    </w:p>
    <w:p>
      <w:pPr>
        <w:pStyle w:val="BodyText"/>
      </w:pPr>
      <w:r>
        <w:rPr>
          <w:iCs/>
          <w:i/>
        </w:rPr>
        <w:t xml:space="preserve">Severity: Medium. When: Ongoing. Action: Maintain full-time employment through at least Phase 3. Set explicit personal financial milestones (emergency fund covering 12 months of expenses before considering full-time transition). Effort: Financial planning exercise, 4 hours.</w:t>
      </w:r>
    </w:p>
    <w:p>
      <w:pPr>
        <w:pStyle w:val="BodyText"/>
      </w:pPr>
      <w:r>
        <w:rPr>
          <w:bCs/>
          <w:b/>
        </w:rPr>
        <w:t xml:space="preserve">Gap S4: Multi-desk sequencing may be suboptimal.</w:t>
      </w:r>
      <w:r>
        <w:t xml:space="preserve"> </w:t>
      </w:r>
      <w:r>
        <w:t xml:space="preserve">The Research Desk (Phase 2) could arguably launch simultaneously with the Swing Desk since it uses the same model at lower thresholds and exists primarily to generate training volume. Delaying it until the Swing Desk passes gates means 3+ months of lower training data accumulation. However, launching both simultaneously risks attention fragmentation for a solo operator.</w:t>
      </w:r>
    </w:p>
    <w:p>
      <w:pPr>
        <w:pStyle w:val="BodyText"/>
      </w:pPr>
      <w:r>
        <w:rPr>
          <w:iCs/>
          <w:i/>
        </w:rPr>
        <w:t xml:space="preserve">Severity: Low. When: Phase 1 review. Action: Evaluate launching Research Desk in</w:t>
      </w:r>
      <w:r>
        <w:rPr>
          <w:iCs/>
          <w:i/>
        </w:rPr>
        <w:t xml:space="preserve"> </w:t>
      </w:r>
      <w:r>
        <w:rPr>
          <w:iCs/>
          <w:i/>
        </w:rPr>
        <w:t xml:space="preserve">“</w:t>
      </w:r>
      <w:r>
        <w:rPr>
          <w:iCs/>
          <w:i/>
        </w:rPr>
        <w:t xml:space="preserve">silent mode</w:t>
      </w:r>
      <w:r>
        <w:rPr>
          <w:iCs/>
          <w:i/>
        </w:rPr>
        <w:t xml:space="preserve">”</w:t>
      </w:r>
      <w:r>
        <w:rPr>
          <w:iCs/>
          <w:i/>
        </w:rPr>
        <w:t xml:space="preserve"> </w:t>
      </w:r>
      <w:r>
        <w:rPr>
          <w:iCs/>
          <w:i/>
        </w:rPr>
        <w:t xml:space="preserve">(no notifications, journal-only) during Phase 1 to accumulate training data without operational overhead. Effort: 1 day of configuration.</w:t>
      </w:r>
    </w:p>
    <w:bookmarkEnd w:id="60"/>
    <w:bookmarkStart w:id="61" w:name="technical-gaps"/>
    <w:p>
      <w:pPr>
        <w:pStyle w:val="Heading2"/>
      </w:pPr>
      <w:r>
        <w:t xml:space="preserve">Technical Gaps</w:t>
      </w:r>
    </w:p>
    <w:p>
      <w:pPr>
        <w:pStyle w:val="FirstParagraph"/>
      </w:pPr>
      <w:r>
        <w:rPr>
          <w:bCs/>
          <w:b/>
        </w:rPr>
        <w:t xml:space="preserve">Gap T1: Single points of failure.</w:t>
      </w:r>
      <w:r>
        <w:t xml:space="preserve"> </w:t>
      </w:r>
      <w:r>
        <w:t xml:space="preserve">The system runs on one machine, one GPU, one SSD, with no failover. A hardware failure halts all operations. Windows Update can force a restart during overnight training.</w:t>
      </w:r>
    </w:p>
    <w:p>
      <w:pPr>
        <w:pStyle w:val="BodyText"/>
      </w:pPr>
      <w:r>
        <w:rPr>
          <w:iCs/>
          <w:i/>
        </w:rPr>
        <w:t xml:space="preserve">Severity: Critical. When: Before first live trade. Action: (1) Configure Windows Update to defer restarts to Sunday maintenance window. (2) Implement overnight task checkpointing so interrupted jobs resume rather than restart. (3) Archive model weights to Backblaze B2 weekly ($0.005/GB/month = ~$0.50/month). (4) Document bare-metal recovery procedure: fresh OS → install stack → restore from Git + B2 → verify preflight. Target RTO: 4 hours, RPO: 24 hours. Effort: 2 days.</w:t>
      </w:r>
    </w:p>
    <w:p>
      <w:pPr>
        <w:pStyle w:val="BodyText"/>
      </w:pPr>
      <w:r>
        <w:rPr>
          <w:bCs/>
          <w:b/>
        </w:rPr>
        <w:t xml:space="preserve">Gap T2: yfinance data quality.</w:t>
      </w:r>
      <w:r>
        <w:t xml:space="preserve"> </w:t>
      </w:r>
      <w:r>
        <w:t xml:space="preserve">yfinance is an unofficial Yahoo Finance scraper with known issues: stale data after market holidays, incorrect split adjustments, delayed ticker changes after M&amp;A, and occasional API outages. For a system making real trading decisions, this is a material risk.</w:t>
      </w:r>
    </w:p>
    <w:p>
      <w:pPr>
        <w:pStyle w:val="BodyText"/>
      </w:pPr>
      <w:r>
        <w:rPr>
          <w:iCs/>
          <w:i/>
        </w:rPr>
        <w:t xml:space="preserve">Severity: High. When: Phase 2. Action: (1) Add data staleness detection: if any ticker’s last close date is &gt;1 trading day behind, flag in Telegram and skip that ticker. (2) Cross-validate critical price data against Alpaca’s market data API (free with paper account). (3) Upgrade to Polygon.io Starter ($29/mo) at Phase 2 for reliable, official exchange data. Effort: 1 day for staleness detection; 3 days for Polygon integration.</w:t>
      </w:r>
    </w:p>
    <w:p>
      <w:pPr>
        <w:pStyle w:val="BodyText"/>
      </w:pPr>
      <w:r>
        <w:rPr>
          <w:bCs/>
          <w:b/>
        </w:rPr>
        <w:t xml:space="preserve">Gap T3: No handling of extraordinary market events.</w:t>
      </w:r>
      <w:r>
        <w:t xml:space="preserve"> </w:t>
      </w:r>
      <w:r>
        <w:t xml:space="preserve">The system has no protocol for flash crashes, trading halts, exchange outages, or circuit breakers. A flash crash could trigger stop-losses at extreme prices, creating losses far beyond the intended 1–2 ATR risk budget.</w:t>
      </w:r>
    </w:p>
    <w:p>
      <w:pPr>
        <w:pStyle w:val="BodyText"/>
      </w:pPr>
      <w:r>
        <w:rPr>
          <w:iCs/>
          <w:i/>
        </w:rPr>
        <w:t xml:space="preserve">Severity: High. When: Before first live trade. Action: (1) Implement halt-aware order logic: if a position’s underlying is halted, do not submit new orders until trading resumes. (2) Add post-halt price validation: if the first post-halt price is &gt;5% from pre-halt, flag for manual review before executing. (3) Set Alpaca’s time-in-force to DAY (not GTC) for stop orders, preventing overnight execution at extreme prices. (4) Add a</w:t>
      </w:r>
      <w:r>
        <w:rPr>
          <w:iCs/>
          <w:i/>
        </w:rPr>
        <w:t xml:space="preserve"> </w:t>
      </w:r>
      <w:r>
        <w:rPr>
          <w:iCs/>
          <w:i/>
        </w:rPr>
        <w:t xml:space="preserve">“</w:t>
      </w:r>
      <w:r>
        <w:rPr>
          <w:iCs/>
          <w:i/>
        </w:rPr>
        <w:t xml:space="preserve">circuit breaker</w:t>
      </w:r>
      <w:r>
        <w:rPr>
          <w:iCs/>
          <w:i/>
        </w:rPr>
        <w:t xml:space="preserve">”</w:t>
      </w:r>
      <w:r>
        <w:rPr>
          <w:iCs/>
          <w:i/>
        </w:rPr>
        <w:t xml:space="preserve"> </w:t>
      </w:r>
      <w:r>
        <w:rPr>
          <w:iCs/>
          <w:i/>
        </w:rPr>
        <w:t xml:space="preserve">check: if SPY is down &gt;7% intraday, halt all new entries. Effort: 3 days.</w:t>
      </w:r>
    </w:p>
    <w:p>
      <w:pPr>
        <w:pStyle w:val="BodyText"/>
      </w:pPr>
      <w:r>
        <w:rPr>
          <w:bCs/>
          <w:b/>
        </w:rPr>
        <w:t xml:space="preserve">Gap T4: SQLite at scale.</w:t>
      </w:r>
      <w:r>
        <w:t xml:space="preserve"> </w:t>
      </w:r>
      <w:r>
        <w:t xml:space="preserve">SQLite handles concurrent reads well but allows only one writer at a time. With 50,000+ data points per night, 1,450 scored examples per week, and growing historical data, write contention could become an issue by Phase 3–4.</w:t>
      </w:r>
    </w:p>
    <w:p>
      <w:pPr>
        <w:pStyle w:val="BodyText"/>
      </w:pPr>
      <w:r>
        <w:rPr>
          <w:iCs/>
          <w:i/>
        </w:rPr>
        <w:t xml:space="preserve">Severity: Low. When: Phase 3+. Action: Monitor WAL (Write-Ahead Logging) journal size and write latency monthly. If average write latency exceeds 100ms or journal exceeds 100MB, evaluate migration to DuckDB (for analytics) or PostgreSQL (for full ACID concurrency). SQLite is correct for Phase 1–2. Effort: 2 hours/month for monitoring; 2 weeks for migration if needed.</w:t>
      </w:r>
    </w:p>
    <w:p>
      <w:pPr>
        <w:pStyle w:val="BodyText"/>
      </w:pPr>
      <w:r>
        <w:rPr>
          <w:bCs/>
          <w:b/>
        </w:rPr>
        <w:t xml:space="preserve">Gap T5: 790 training examples is below the literature’s minimum viable threshold.</w:t>
      </w:r>
      <w:r>
        <w:t xml:space="preserve"> </w:t>
      </w:r>
      <w:r>
        <w:t xml:space="preserve">The LIMA paper showed 1,000 examples sufficient for style alignment; AlpaGasus showed 9,000 quality-filtered examples outperforming 52,000 unfiltered. The Databricks LIMIT study found 2,000–6,000 as the sweet spot. At 790 examples, halcyon-v1 is functional but below the minimum for robust generalization.</w:t>
      </w:r>
    </w:p>
    <w:p>
      <w:pPr>
        <w:pStyle w:val="BodyText"/>
      </w:pPr>
      <w:r>
        <w:rPr>
          <w:iCs/>
          <w:i/>
        </w:rPr>
        <w:t xml:space="preserve">Severity: Medium. When: Phase 1 (actively being addressed). Action: The between-scan scoring system produces ~1,450 scored examples per week. At this rate, the training dataset reaches 2,000 in ~1 week and 5,000 in ~3 weeks. The gap closes rapidly. Ensure quality filtering maintains rubric score ≥3.5 for inclusion. Effort: Already automated; monitor quality distribution weekly.</w:t>
      </w:r>
    </w:p>
    <w:bookmarkEnd w:id="61"/>
    <w:bookmarkStart w:id="62" w:name="data-gaps"/>
    <w:p>
      <w:pPr>
        <w:pStyle w:val="Heading2"/>
      </w:pPr>
      <w:r>
        <w:t xml:space="preserve">Data Gaps</w:t>
      </w:r>
    </w:p>
    <w:p>
      <w:pPr>
        <w:pStyle w:val="FirstParagraph"/>
      </w:pPr>
      <w:r>
        <w:rPr>
          <w:bCs/>
          <w:b/>
        </w:rPr>
        <w:t xml:space="preserve">Gap D1: No short-selling capability.</w:t>
      </w:r>
      <w:r>
        <w:t xml:space="preserve"> </w:t>
      </w:r>
      <w:r>
        <w:t xml:space="preserve">The system can only profit from upward moves. In bear markets or sector rotations (like the current Great Rotation out of tech), it misses the largest alpha opportunities. Academic evidence (Asness, Moskowitz, and Pedersen, 2013,</w:t>
      </w:r>
      <w:r>
        <w:t xml:space="preserve"> </w:t>
      </w:r>
      <w:r>
        <w:rPr>
          <w:iCs/>
          <w:i/>
        </w:rPr>
        <w:t xml:space="preserve">Journal of Finance</w:t>
      </w:r>
      <w:r>
        <w:t xml:space="preserve">) shows long-short portfolios achieve 40–60% higher Sharpe than long-only.</w:t>
      </w:r>
    </w:p>
    <w:p>
      <w:pPr>
        <w:pStyle w:val="BodyText"/>
      </w:pPr>
      <w:r>
        <w:rPr>
          <w:iCs/>
          <w:i/>
        </w:rPr>
        <w:t xml:space="preserve">Severity: Medium. When: Phase 4+. Action: Add short-selling as an Options Desk capability via bear put spreads (defined risk, no margin requirements). This captures downside alpha without the unlimited risk of outright short positions. Alternatively, add inverse ETF positions (SH, SDS) as a hedging mechanism within the Swing Desk. Effort: 2–3 weeks for Options Desk; 1 week for inverse ETF integration.</w:t>
      </w:r>
    </w:p>
    <w:p>
      <w:pPr>
        <w:pStyle w:val="BodyText"/>
      </w:pPr>
      <w:r>
        <w:rPr>
          <w:bCs/>
          <w:b/>
        </w:rPr>
        <w:t xml:space="preserve">Gap D2: Missing alternative data sources.</w:t>
      </w:r>
      <w:r>
        <w:t xml:space="preserve"> </w:t>
      </w:r>
      <w:r>
        <w:t xml:space="preserve">The system has no real-time news sentiment scoring, no institutional ownership flow data (13F filings), no social media sentiment (Reddit/StockTwits), and no insider transaction tracking (Form 4). Each of these has documented alpha contribution for equity strategies.</w:t>
      </w:r>
    </w:p>
    <w:p>
      <w:pPr>
        <w:pStyle w:val="BodyText"/>
      </w:pPr>
      <w:r>
        <w:rPr>
          <w:iCs/>
          <w:i/>
        </w:rPr>
        <w:t xml:space="preserve">Severity: Medium. When: Phase 2–3. Action: Prioritize by marginal value per dollar: (1) SEC EDGAR Form 4 insider transactions (free, 1–2 days to implement), (2) Finnhub news sentiment API (free tier, 1 day), (3) Congressional trading disclosures (free, 1 day), (4) Unusual Whales options flow ($50/mo, Phase 3). Effort: 4–5 days total for free sources.</w:t>
      </w:r>
    </w:p>
    <w:p>
      <w:pPr>
        <w:pStyle w:val="BodyText"/>
      </w:pPr>
      <w:r>
        <w:rPr>
          <w:bCs/>
          <w:b/>
        </w:rPr>
        <w:t xml:space="preserve">Gap D3: 19 FRED series may be insufficient for regime detection.</w:t>
      </w:r>
      <w:r>
        <w:t xml:space="preserve"> </w:t>
      </w:r>
      <w:r>
        <w:t xml:space="preserve">Critical missing series include: MOVE Index (bond volatility), TED spread (interbank stress), copper/gold ratio (growth expectations), ISM Manufacturing PMI, and consumer confidence. These have documented predictive power for equity regime transitions.</w:t>
      </w:r>
    </w:p>
    <w:p>
      <w:pPr>
        <w:pStyle w:val="BodyText"/>
      </w:pPr>
      <w:r>
        <w:rPr>
          <w:iCs/>
          <w:i/>
        </w:rPr>
        <w:t xml:space="preserve">Severity: Low. When: Phase 2. Action: Add 5–8 additional FRED series: MOVE (BAMLHE0A0HYM2EY), TED spread (TEDRATE), copper (PCOPPUSDM), ISM PMI (MANEMP), consumer confidence (CSCICP03USM665S), financial stress (STLFSI3), and leading indicators (USSLIND). All free via FRED API. Effort: 2 hours.</w:t>
      </w:r>
    </w:p>
    <w:p>
      <w:pPr>
        <w:pStyle w:val="BodyText"/>
      </w:pPr>
      <w:r>
        <w:rPr>
          <w:bCs/>
          <w:b/>
        </w:rPr>
        <w:t xml:space="preserve">Gap D4: No intraday data.</w:t>
      </w:r>
      <w:r>
        <w:t xml:space="preserve"> </w:t>
      </w:r>
      <w:r>
        <w:t xml:space="preserve">For a 2–15 day holding period, daily OHLCV is theoretically sufficient. However, intraday data would enable: (1) better entry timing (buying the intraday dip rather than at close), (2) MFE/MAE analysis (maximum favorable/adverse excursion during hold period), and (3) more precise stop-loss calibration.</w:t>
      </w:r>
    </w:p>
    <w:p>
      <w:pPr>
        <w:pStyle w:val="BodyText"/>
      </w:pPr>
      <w:r>
        <w:rPr>
          <w:iCs/>
          <w:i/>
        </w:rPr>
        <w:t xml:space="preserve">Severity: Low. When: Phase 3. Action: Alpaca provides free 1-minute bars for paper account. Add intraday MFE/MAE tracking to closed trade postmortems. This enriches training data without changing the strategy. Effort: 3 days.</w:t>
      </w:r>
    </w:p>
    <w:bookmarkEnd w:id="62"/>
    <w:bookmarkStart w:id="63" w:name="financial-gaps"/>
    <w:p>
      <w:pPr>
        <w:pStyle w:val="Heading2"/>
      </w:pPr>
      <w:r>
        <w:t xml:space="preserve">Financial Gaps</w:t>
      </w:r>
    </w:p>
    <w:p>
      <w:pPr>
        <w:pStyle w:val="FirstParagraph"/>
      </w:pPr>
      <w:r>
        <w:rPr>
          <w:bCs/>
          <w:b/>
        </w:rPr>
        <w:t xml:space="preserve">Gap F1: Founder’s opportunity cost is unaccounted.</w:t>
      </w:r>
      <w:r>
        <w:t xml:space="preserve"> </w:t>
      </w:r>
      <w:r>
        <w:t xml:space="preserve">At a $150K+ GD-MS salary, the implicit cost of time spent on Halcyon Lab is substantial. If the system takes 5 years to reach fund-level income ($200K+/year), the NPV of forgone earnings adjustments could exceed $100K.</w:t>
      </w:r>
    </w:p>
    <w:p>
      <w:pPr>
        <w:pStyle w:val="BodyText"/>
      </w:pPr>
      <w:r>
        <w:rPr>
          <w:iCs/>
          <w:i/>
        </w:rPr>
        <w:t xml:space="preserve">Severity: Medium. When: Ongoing. Action: Maintain full-time employment through Phase 3 minimum. Track hours spent on Halcyon Lab weekly. If hours exceed 20/week, evaluate whether the marginal hour is better spent on the day job or the system. The system is designed for maximum automation precisely to minimize ongoing time investment. Effort: 15 minutes/week for time tracking.</w:t>
      </w:r>
    </w:p>
    <w:p>
      <w:pPr>
        <w:pStyle w:val="BodyText"/>
      </w:pPr>
      <w:r>
        <w:rPr>
          <w:bCs/>
          <w:b/>
        </w:rPr>
        <w:t xml:space="preserve">Gap F2: Emerging quant fund capital raising is extremely difficult.</w:t>
      </w:r>
      <w:r>
        <w:t xml:space="preserve"> </w:t>
      </w:r>
      <w:r>
        <w:t xml:space="preserve">Preqin data shows the median emerging manager fund takes 12–18 months to raise its first $5M. Two-thirds of institutional investors require a 3-year audited track record. Solo-operated funds face additional skepticism.</w:t>
      </w:r>
    </w:p>
    <w:p>
      <w:pPr>
        <w:pStyle w:val="BodyText"/>
      </w:pPr>
      <w:r>
        <w:rPr>
          <w:iCs/>
          <w:i/>
        </w:rPr>
        <w:t xml:space="preserve">Severity: High. When: Phase 4–5. Action: (1) Begin building relationships with allocators 12+ months before fund launch (family offices, endowments, fund-of-funds). (2) Publish a track record on Collective2 or similar platform for independent verification starting in Phase 2. (3) Consider the newsletter/signal marketplace as a bridge revenue source during the capital-raising period. (4) Target 1–2 anchor investors (friends, family, colleagues with $250K+ net worth) rather than institutional capital initially. Effort: Ongoing relationship building.</w:t>
      </w:r>
    </w:p>
    <w:p>
      <w:pPr>
        <w:pStyle w:val="BodyText"/>
      </w:pPr>
      <w:r>
        <w:rPr>
          <w:bCs/>
          <w:b/>
        </w:rPr>
        <w:t xml:space="preserve">Gap F3: Operating cost projections may undercount.</w:t>
      </w:r>
      <w:r>
        <w:t xml:space="preserve"> </w:t>
      </w:r>
      <w:r>
        <w:t xml:space="preserve">Missing from the current model: (1) accounting/tax preparation ($1,000–$3,000/year for LLC with trading activity), (2) errors and omissions insurance ($1,500–$2,500/year at fund stage), (3) data backup costs ($50–$100/year for Backblaze B2), (4) securities attorney retainer for ongoing compliance questions ($2,000–$5,000/year at fund stage), (5) Telegram Bot API costs (free for now but premium features may be needed). Total undercount: ~$5K–$10K/year at fund stage.</w:t>
      </w:r>
    </w:p>
    <w:p>
      <w:pPr>
        <w:pStyle w:val="BodyText"/>
      </w:pPr>
      <w:r>
        <w:rPr>
          <w:iCs/>
          <w:i/>
        </w:rPr>
        <w:t xml:space="preserve">Severity: Low. When: Phase 2+. Action: Add $10K/year compliance and professional services buffer to fund-stage operating cost projections. This changes fund break-even from ~$2M to ~$2.2M AUM. Effort: 1 hour to update financial model.</w:t>
      </w:r>
    </w:p>
    <w:bookmarkEnd w:id="63"/>
    <w:bookmarkStart w:id="64" w:name="operational-gaps"/>
    <w:p>
      <w:pPr>
        <w:pStyle w:val="Heading2"/>
      </w:pPr>
      <w:r>
        <w:t xml:space="preserve">Operational Gaps</w:t>
      </w:r>
    </w:p>
    <w:p>
      <w:pPr>
        <w:pStyle w:val="FirstParagraph"/>
      </w:pPr>
      <w:r>
        <w:rPr>
          <w:bCs/>
          <w:b/>
        </w:rPr>
        <w:t xml:space="preserve">Gap O1: Two-week founder unavailability.</w:t>
      </w:r>
      <w:r>
        <w:t xml:space="preserve"> </w:t>
      </w:r>
      <w:r>
        <w:t xml:space="preserve">If the founder is unavailable for 2 weeks (illness, travel, emergency), the system must survive autonomously. Currently, the 24/7 scheduler runs unattended, but: (1) there is no alerting if a critical overnight task fails 2+ consecutive nights, (2) there is no automated response to Alpaca margin calls or account issues, (3) Windows could force-restart and not recover services.</w:t>
      </w:r>
    </w:p>
    <w:p>
      <w:pPr>
        <w:pStyle w:val="BodyText"/>
      </w:pPr>
      <w:r>
        <w:rPr>
          <w:iCs/>
          <w:i/>
        </w:rPr>
        <w:t xml:space="preserve">Severity: High. When: Before first live trade. Action: (1) Add Telegram alert when any overnight task fails 2 consecutive nights. (2) Add Telegram alert when scoring backlog exceeds 500 for 48+ hours. (3) Add Telegram</w:t>
      </w:r>
      <w:r>
        <w:rPr>
          <w:iCs/>
          <w:i/>
        </w:rPr>
        <w:t xml:space="preserve"> </w:t>
      </w:r>
      <w:r>
        <w:rPr>
          <w:iCs/>
          <w:i/>
        </w:rPr>
        <w:t xml:space="preserve">“</w:t>
      </w:r>
      <w:r>
        <w:rPr>
          <w:iCs/>
          <w:i/>
        </w:rPr>
        <w:t xml:space="preserve">heartbeat</w:t>
      </w:r>
      <w:r>
        <w:rPr>
          <w:iCs/>
          <w:i/>
        </w:rPr>
        <w:t xml:space="preserve">”</w:t>
      </w:r>
      <w:r>
        <w:rPr>
          <w:iCs/>
          <w:i/>
        </w:rPr>
        <w:t xml:space="preserve"> </w:t>
      </w:r>
      <w:r>
        <w:rPr>
          <w:iCs/>
          <w:i/>
        </w:rPr>
        <w:t xml:space="preserve">alert: if no scan completes for 24+ hours, send a critical notification. (4) Create a Windows startup script (Task Scheduler) that launches Ollama + the scheduler on boot. (5) Set Alpaca stop-losses as GTC bracket orders so they execute regardless of system state. (6) Document a</w:t>
      </w:r>
      <w:r>
        <w:rPr>
          <w:iCs/>
          <w:i/>
        </w:rPr>
        <w:t xml:space="preserve"> </w:t>
      </w:r>
      <w:r>
        <w:rPr>
          <w:iCs/>
          <w:i/>
        </w:rPr>
        <w:t xml:space="preserve">“</w:t>
      </w:r>
      <w:r>
        <w:rPr>
          <w:iCs/>
          <w:i/>
        </w:rPr>
        <w:t xml:space="preserve">dead man’s switch</w:t>
      </w:r>
      <w:r>
        <w:rPr>
          <w:iCs/>
          <w:i/>
        </w:rPr>
        <w:t xml:space="preserve">”</w:t>
      </w:r>
      <w:r>
        <w:rPr>
          <w:iCs/>
          <w:i/>
        </w:rPr>
        <w:t xml:space="preserve"> </w:t>
      </w:r>
      <w:r>
        <w:rPr>
          <w:iCs/>
          <w:i/>
        </w:rPr>
        <w:t xml:space="preserve">procedure: if no heartbeat for 72 hours, close all positions via Alpaca API (can be triggered from phone). Effort: 3 days.</w:t>
      </w:r>
    </w:p>
    <w:p>
      <w:pPr>
        <w:pStyle w:val="BodyText"/>
      </w:pPr>
      <w:r>
        <w:rPr>
          <w:bCs/>
          <w:b/>
        </w:rPr>
        <w:t xml:space="preserve">Gap O2: No disaster recovery testing.</w:t>
      </w:r>
      <w:r>
        <w:t xml:space="preserve"> </w:t>
      </w:r>
      <w:r>
        <w:t xml:space="preserve">The system has no tested recovery procedure. RTO (Recovery Time Objective) and RPO (Recovery Point Objective) are undefined.</w:t>
      </w:r>
    </w:p>
    <w:p>
      <w:pPr>
        <w:pStyle w:val="BodyText"/>
      </w:pPr>
      <w:r>
        <w:rPr>
          <w:iCs/>
          <w:i/>
        </w:rPr>
        <w:t xml:space="preserve">Severity: High. When: Before first live trade. Action: (1) Define targets: RTO = 4 hours, RPO = 24 hours. (2) Quarterly DR test: wipe a test directory, restore from Git + B2 backup, run preflight, verify system operational. (3) Document the procedure in AGENTS.md. (4) Keep a USB drive with the latest model weights and database backup updated weekly. Effort: 1 day for initial setup; 2 hours quarterly for testing.</w:t>
      </w:r>
    </w:p>
    <w:p>
      <w:pPr>
        <w:pStyle w:val="BodyText"/>
      </w:pPr>
      <w:r>
        <w:rPr>
          <w:bCs/>
          <w:b/>
        </w:rPr>
        <w:t xml:space="preserve">Gap O3: Ollama/Qwen licensing and availability risk.</w:t>
      </w:r>
      <w:r>
        <w:t xml:space="preserve"> </w:t>
      </w:r>
      <w:r>
        <w:t xml:space="preserve">Ollama is MIT-licensed open source. Qwen3 is Apache 2.0 licensed. Both are currently safe, but: (1) Alibaba could change Qwen licensing for future versions, (2) Ollama could be acquired and change terms, (3) a better model family could emerge that requires different tooling.</w:t>
      </w:r>
    </w:p>
    <w:p>
      <w:pPr>
        <w:pStyle w:val="BodyText"/>
      </w:pPr>
      <w:r>
        <w:rPr>
          <w:iCs/>
          <w:i/>
        </w:rPr>
        <w:t xml:space="preserve">Severity: Low. When: Ongoing. Action: (1) Archive current model weights (halcyon-v1 GGUF, 8.7GB) in three locations: local, Git LFS, Backblaze B2. (2) The inference abstraction layer already allows swapping Ollama for vLLM or llama.cpp. (3) Monitor Qwen licensing quarterly. (4) Evaluate Llama, Mistral, and Gemma as fallback base models annually. Effort: Already partially addressed; 2 hours/quarter for monitoring.</w:t>
      </w:r>
    </w:p>
    <w:p>
      <w:pPr>
        <w:pStyle w:val="BodyText"/>
      </w:pPr>
      <w:r>
        <w:rPr>
          <w:bCs/>
          <w:b/>
        </w:rPr>
        <w:t xml:space="preserve">Gap O4: Silent failure detection.</w:t>
      </w:r>
      <w:r>
        <w:t xml:space="preserve"> </w:t>
      </w:r>
      <w:r>
        <w:t xml:space="preserve">The system could return stale data without errors (e.g., yfinance returning yesterday’s prices due to a caching bug). No mechanism currently detects this.</w:t>
      </w:r>
    </w:p>
    <w:p>
      <w:pPr>
        <w:pStyle w:val="BodyText"/>
      </w:pPr>
      <w:r>
        <w:rPr>
          <w:iCs/>
          <w:i/>
        </w:rPr>
        <w:t xml:space="preserve">Severity: High. When: Before first live trade. Action: (1) Add timestamp validation to every data collector: reject any data point with a timestamp older than expected. (2) Add cross-source validation: compare yfinance close price with Alpaca’s last trade price; alert if divergence exceeds 0.5%. (3) Add VIX sanity check: if VIX hasn’t changed in 2+ business days, data is stale. (4) Add Telegram alert for all data validation failures. Effort: 2 days.</w:t>
      </w:r>
    </w:p>
    <w:bookmarkEnd w:id="64"/>
    <w:bookmarkStart w:id="68" w:name="corrective-action-priority-tiers"/>
    <w:p>
      <w:pPr>
        <w:pStyle w:val="Heading2"/>
      </w:pPr>
      <w:r>
        <w:t xml:space="preserve">Corrective action priority tiers</w:t>
      </w:r>
    </w:p>
    <w:bookmarkStart w:id="65" w:name="X80a29917d8c150fe803daa0046891ad6be54640"/>
    <w:p>
      <w:pPr>
        <w:pStyle w:val="Heading3"/>
      </w:pPr>
      <w:r>
        <w:t xml:space="preserve">Tier 1 — Fix before going live with real money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Gap</w:t>
            </w:r>
          </w:p>
        </w:tc>
        <w:tc>
          <w:tcPr/>
          <w:p>
            <w:pPr>
              <w:pStyle w:val="Compact"/>
              <w:jc w:val="left"/>
            </w:pPr>
            <w:r>
              <w:t xml:space="preserve">Action</w:t>
            </w:r>
          </w:p>
        </w:tc>
        <w:tc>
          <w:tcPr/>
          <w:p>
            <w:pPr>
              <w:pStyle w:val="Compact"/>
              <w:jc w:val="left"/>
            </w:pPr>
            <w:r>
              <w:t xml:space="preserve">Effort</w:t>
            </w:r>
          </w:p>
        </w:tc>
        <w:tc>
          <w:tcPr/>
          <w:p>
            <w:pPr>
              <w:pStyle w:val="Compact"/>
              <w:jc w:val="left"/>
            </w:pPr>
            <w:r>
              <w:t xml:space="preserve">Dependencies</w:t>
            </w:r>
          </w:p>
        </w:tc>
      </w:tr>
      <w:tr>
        <w:tc>
          <w:tcPr/>
          <w:p>
            <w:pPr>
              <w:pStyle w:val="Compact"/>
              <w:jc w:val="left"/>
            </w:pPr>
            <w:r>
              <w:t xml:space="preserve">T1</w:t>
            </w:r>
          </w:p>
        </w:tc>
        <w:tc>
          <w:tcPr/>
          <w:p>
            <w:pPr>
              <w:pStyle w:val="Compact"/>
              <w:jc w:val="left"/>
            </w:pPr>
            <w:r>
              <w:t xml:space="preserve">Windows Update deferral + task checkpointing + B2 backup</w:t>
            </w:r>
          </w:p>
        </w:tc>
        <w:tc>
          <w:tcPr/>
          <w:p>
            <w:pPr>
              <w:pStyle w:val="Compact"/>
              <w:jc w:val="left"/>
            </w:pPr>
            <w:r>
              <w:t xml:space="preserve">2 days</w:t>
            </w:r>
          </w:p>
        </w:tc>
        <w:tc>
          <w:tcPr/>
          <w:p>
            <w:pPr>
              <w:pStyle w:val="Compact"/>
              <w:jc w:val="left"/>
            </w:pPr>
            <w:r>
              <w:t xml:space="preserve">Backblaze account</w:t>
            </w:r>
          </w:p>
        </w:tc>
      </w:tr>
      <w:tr>
        <w:tc>
          <w:tcPr/>
          <w:p>
            <w:pPr>
              <w:pStyle w:val="Compact"/>
              <w:jc w:val="left"/>
            </w:pPr>
            <w:r>
              <w:t xml:space="preserve">T3</w:t>
            </w:r>
          </w:p>
        </w:tc>
        <w:tc>
          <w:tcPr/>
          <w:p>
            <w:pPr>
              <w:pStyle w:val="Compact"/>
              <w:jc w:val="left"/>
            </w:pPr>
            <w:r>
              <w:t xml:space="preserve">Halt-aware orders + circuit breaker + post-halt validation</w:t>
            </w:r>
          </w:p>
        </w:tc>
        <w:tc>
          <w:tcPr/>
          <w:p>
            <w:pPr>
              <w:pStyle w:val="Compact"/>
              <w:jc w:val="left"/>
            </w:pPr>
            <w:r>
              <w:t xml:space="preserve">3 days</w:t>
            </w:r>
          </w:p>
        </w:tc>
        <w:tc>
          <w:tcPr/>
          <w:p>
            <w:pPr>
              <w:pStyle w:val="Compact"/>
              <w:jc w:val="left"/>
            </w:pPr>
            <w:r>
              <w:t xml:space="preserve">Alpaca API docs</w:t>
            </w:r>
          </w:p>
        </w:tc>
      </w:tr>
      <w:tr>
        <w:tc>
          <w:tcPr/>
          <w:p>
            <w:pPr>
              <w:pStyle w:val="Compact"/>
              <w:jc w:val="left"/>
            </w:pPr>
            <w:r>
              <w:t xml:space="preserve">O1</w:t>
            </w:r>
          </w:p>
        </w:tc>
        <w:tc>
          <w:tcPr/>
          <w:p>
            <w:pPr>
              <w:pStyle w:val="Compact"/>
              <w:jc w:val="left"/>
            </w:pPr>
            <w:r>
              <w:t xml:space="preserve">Telegram heartbeat + failure alerts + startup script + dead man’s switch</w:t>
            </w:r>
          </w:p>
        </w:tc>
        <w:tc>
          <w:tcPr/>
          <w:p>
            <w:pPr>
              <w:pStyle w:val="Compact"/>
              <w:jc w:val="left"/>
            </w:pPr>
            <w:r>
              <w:t xml:space="preserve">3 days</w:t>
            </w:r>
          </w:p>
        </w:tc>
        <w:tc>
          <w:tcPr/>
          <w:p>
            <w:pPr>
              <w:pStyle w:val="Compact"/>
              <w:jc w:val="left"/>
            </w:pPr>
            <w:r>
              <w:t xml:space="preserve">Telegram bot configured</w:t>
            </w:r>
          </w:p>
        </w:tc>
      </w:tr>
      <w:tr>
        <w:tc>
          <w:tcPr/>
          <w:p>
            <w:pPr>
              <w:pStyle w:val="Compact"/>
              <w:jc w:val="left"/>
            </w:pPr>
            <w:r>
              <w:t xml:space="preserve">O2</w:t>
            </w:r>
          </w:p>
        </w:tc>
        <w:tc>
          <w:tcPr/>
          <w:p>
            <w:pPr>
              <w:pStyle w:val="Compact"/>
              <w:jc w:val="left"/>
            </w:pPr>
            <w:r>
              <w:t xml:space="preserve">DR plan + first DR test</w:t>
            </w:r>
          </w:p>
        </w:tc>
        <w:tc>
          <w:tcPr/>
          <w:p>
            <w:pPr>
              <w:pStyle w:val="Compact"/>
              <w:jc w:val="left"/>
            </w:pPr>
            <w:r>
              <w:t xml:space="preserve">1 day</w:t>
            </w:r>
          </w:p>
        </w:tc>
        <w:tc>
          <w:tcPr/>
          <w:p>
            <w:pPr>
              <w:pStyle w:val="Compact"/>
              <w:jc w:val="left"/>
            </w:pPr>
            <w:r>
              <w:t xml:space="preserve">B2 backup operational</w:t>
            </w:r>
          </w:p>
        </w:tc>
      </w:tr>
      <w:tr>
        <w:tc>
          <w:tcPr/>
          <w:p>
            <w:pPr>
              <w:pStyle w:val="Compact"/>
              <w:jc w:val="left"/>
            </w:pPr>
            <w:r>
              <w:t xml:space="preserve">O4</w:t>
            </w:r>
          </w:p>
        </w:tc>
        <w:tc>
          <w:tcPr/>
          <w:p>
            <w:pPr>
              <w:pStyle w:val="Compact"/>
              <w:jc w:val="left"/>
            </w:pPr>
            <w:r>
              <w:t xml:space="preserve">Silent failure detection + cross-source validation</w:t>
            </w:r>
          </w:p>
        </w:tc>
        <w:tc>
          <w:tcPr/>
          <w:p>
            <w:pPr>
              <w:pStyle w:val="Compact"/>
              <w:jc w:val="left"/>
            </w:pPr>
            <w:r>
              <w:t xml:space="preserve">2 days</w:t>
            </w:r>
          </w:p>
        </w:tc>
        <w:tc>
          <w:tcPr/>
          <w:p>
            <w:pPr>
              <w:pStyle w:val="Compact"/>
              <w:jc w:val="left"/>
            </w:pPr>
            <w:r>
              <w:t xml:space="preserve">None</w:t>
            </w:r>
          </w:p>
        </w:tc>
      </w:tr>
      <w:tr>
        <w:tc>
          <w:tcPr/>
          <w:p>
            <w:pPr>
              <w:pStyle w:val="Compact"/>
              <w:jc w:val="left"/>
            </w:pPr>
            <w:r>
              <w:t xml:space="preserve">T2</w:t>
            </w:r>
          </w:p>
        </w:tc>
        <w:tc>
          <w:tcPr/>
          <w:p>
            <w:pPr>
              <w:pStyle w:val="Compact"/>
              <w:jc w:val="left"/>
            </w:pPr>
            <w:r>
              <w:t xml:space="preserve">yfinance staleness detection + Alpaca cross-validation</w:t>
            </w:r>
          </w:p>
        </w:tc>
        <w:tc>
          <w:tcPr/>
          <w:p>
            <w:pPr>
              <w:pStyle w:val="Compact"/>
              <w:jc w:val="left"/>
            </w:pPr>
            <w:r>
              <w:t xml:space="preserve">1 day</w:t>
            </w:r>
          </w:p>
        </w:tc>
        <w:tc>
          <w:tcPr/>
          <w:p>
            <w:pPr>
              <w:pStyle w:val="Compact"/>
              <w:jc w:val="left"/>
            </w:pPr>
            <w:r>
              <w:t xml:space="preserve">None</w:t>
            </w:r>
          </w:p>
        </w:tc>
      </w:tr>
    </w:tbl>
    <w:p>
      <w:pPr>
        <w:pStyle w:val="BodyText"/>
      </w:pPr>
      <w:r>
        <w:rPr>
          <w:bCs/>
          <w:b/>
        </w:rPr>
        <w:t xml:space="preserve">Total Tier 1 effort: ~12 days</w:t>
      </w:r>
    </w:p>
    <w:bookmarkEnd w:id="65"/>
    <w:bookmarkStart w:id="66" w:name="tier-2-fix-during-phase-2"/>
    <w:p>
      <w:pPr>
        <w:pStyle w:val="Heading3"/>
      </w:pPr>
      <w:r>
        <w:t xml:space="preserve">Tier 2 — Fix during Phase 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Action</w:t>
            </w:r>
          </w:p>
        </w:tc>
        <w:tc>
          <w:tcPr/>
          <w:p>
            <w:pPr>
              <w:pStyle w:val="Compact"/>
              <w:jc w:val="left"/>
            </w:pPr>
            <w:r>
              <w:t xml:space="preserve">Effort</w:t>
            </w:r>
          </w:p>
        </w:tc>
      </w:tr>
      <w:tr>
        <w:tc>
          <w:tcPr/>
          <w:p>
            <w:pPr>
              <w:pStyle w:val="Compact"/>
              <w:jc w:val="left"/>
            </w:pPr>
            <w:r>
              <w:t xml:space="preserve">S2</w:t>
            </w:r>
          </w:p>
        </w:tc>
        <w:tc>
          <w:tcPr/>
          <w:p>
            <w:pPr>
              <w:pStyle w:val="Compact"/>
              <w:jc w:val="left"/>
            </w:pPr>
            <w:r>
              <w:t xml:space="preserve">HMM regime detection implementation</w:t>
            </w:r>
          </w:p>
        </w:tc>
        <w:tc>
          <w:tcPr/>
          <w:p>
            <w:pPr>
              <w:pStyle w:val="Compact"/>
              <w:jc w:val="left"/>
            </w:pPr>
            <w:r>
              <w:t xml:space="preserve">2 weeks</w:t>
            </w:r>
          </w:p>
        </w:tc>
      </w:tr>
      <w:tr>
        <w:tc>
          <w:tcPr/>
          <w:p>
            <w:pPr>
              <w:pStyle w:val="Compact"/>
              <w:jc w:val="left"/>
            </w:pPr>
            <w:r>
              <w:t xml:space="preserve">T2</w:t>
            </w:r>
          </w:p>
        </w:tc>
        <w:tc>
          <w:tcPr/>
          <w:p>
            <w:pPr>
              <w:pStyle w:val="Compact"/>
              <w:jc w:val="left"/>
            </w:pPr>
            <w:r>
              <w:t xml:space="preserve">Polygon.io integration (replaces yfinance for primary data)</w:t>
            </w:r>
          </w:p>
        </w:tc>
        <w:tc>
          <w:tcPr/>
          <w:p>
            <w:pPr>
              <w:pStyle w:val="Compact"/>
              <w:jc w:val="left"/>
            </w:pPr>
            <w:r>
              <w:t xml:space="preserve">3 days</w:t>
            </w:r>
          </w:p>
        </w:tc>
      </w:tr>
      <w:tr>
        <w:tc>
          <w:tcPr/>
          <w:p>
            <w:pPr>
              <w:pStyle w:val="Compact"/>
              <w:jc w:val="left"/>
            </w:pPr>
            <w:r>
              <w:t xml:space="preserve">D2</w:t>
            </w:r>
          </w:p>
        </w:tc>
        <w:tc>
          <w:tcPr/>
          <w:p>
            <w:pPr>
              <w:pStyle w:val="Compact"/>
              <w:jc w:val="left"/>
            </w:pPr>
            <w:r>
              <w:t xml:space="preserve">Free alternative data sources (Form 4, Finnhub sentiment, congressional trades)</w:t>
            </w:r>
          </w:p>
        </w:tc>
        <w:tc>
          <w:tcPr/>
          <w:p>
            <w:pPr>
              <w:pStyle w:val="Compact"/>
              <w:jc w:val="left"/>
            </w:pPr>
            <w:r>
              <w:t xml:space="preserve">5 days</w:t>
            </w:r>
          </w:p>
        </w:tc>
      </w:tr>
      <w:tr>
        <w:tc>
          <w:tcPr/>
          <w:p>
            <w:pPr>
              <w:pStyle w:val="Compact"/>
              <w:jc w:val="left"/>
            </w:pPr>
            <w:r>
              <w:t xml:space="preserve">D3</w:t>
            </w:r>
          </w:p>
        </w:tc>
        <w:tc>
          <w:tcPr/>
          <w:p>
            <w:pPr>
              <w:pStyle w:val="Compact"/>
              <w:jc w:val="left"/>
            </w:pPr>
            <w:r>
              <w:t xml:space="preserve">Additional FRED series for regime detection</w:t>
            </w:r>
          </w:p>
        </w:tc>
        <w:tc>
          <w:tcPr/>
          <w:p>
            <w:pPr>
              <w:pStyle w:val="Compact"/>
              <w:jc w:val="left"/>
            </w:pPr>
            <w:r>
              <w:t xml:space="preserve">2 hours</w:t>
            </w:r>
          </w:p>
        </w:tc>
      </w:tr>
      <w:tr>
        <w:tc>
          <w:tcPr/>
          <w:p>
            <w:pPr>
              <w:pStyle w:val="Compact"/>
              <w:jc w:val="left"/>
            </w:pPr>
            <w:r>
              <w:t xml:space="preserve">F1</w:t>
            </w:r>
          </w:p>
        </w:tc>
        <w:tc>
          <w:tcPr/>
          <w:p>
            <w:pPr>
              <w:pStyle w:val="Compact"/>
              <w:jc w:val="left"/>
            </w:pPr>
            <w:r>
              <w:t xml:space="preserve">Time tracking system</w:t>
            </w:r>
          </w:p>
        </w:tc>
        <w:tc>
          <w:tcPr/>
          <w:p>
            <w:pPr>
              <w:pStyle w:val="Compact"/>
              <w:jc w:val="left"/>
            </w:pPr>
            <w:r>
              <w:t xml:space="preserve">15 min/week</w:t>
            </w:r>
          </w:p>
        </w:tc>
      </w:tr>
      <w:tr>
        <w:tc>
          <w:tcPr/>
          <w:p>
            <w:pPr>
              <w:pStyle w:val="Compact"/>
              <w:jc w:val="left"/>
            </w:pPr>
            <w:r>
              <w:t xml:space="preserve">S1</w:t>
            </w:r>
          </w:p>
        </w:tc>
        <w:tc>
          <w:tcPr/>
          <w:p>
            <w:pPr>
              <w:pStyle w:val="Compact"/>
              <w:jc w:val="left"/>
            </w:pPr>
            <w:r>
              <w:t xml:space="preserve">Updated financial model with Sharpe sensitivity tables</w:t>
            </w:r>
          </w:p>
        </w:tc>
        <w:tc>
          <w:tcPr/>
          <w:p>
            <w:pPr>
              <w:pStyle w:val="Compact"/>
              <w:jc w:val="left"/>
            </w:pPr>
            <w:r>
              <w:t xml:space="preserve">2 hours</w:t>
            </w:r>
          </w:p>
        </w:tc>
      </w:tr>
    </w:tbl>
    <w:p>
      <w:pPr>
        <w:pStyle w:val="BodyText"/>
      </w:pPr>
      <w:r>
        <w:rPr>
          <w:bCs/>
          <w:b/>
        </w:rPr>
        <w:t xml:space="preserve">Total Tier 2 effort: ~4 weeks</w:t>
      </w:r>
    </w:p>
    <w:bookmarkEnd w:id="66"/>
    <w:bookmarkStart w:id="67" w:name="tier-3-fix-before-fund-launch"/>
    <w:p>
      <w:pPr>
        <w:pStyle w:val="Heading3"/>
      </w:pPr>
      <w:r>
        <w:t xml:space="preserve">Tier 3 — Fix before fund launch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Gap</w:t>
            </w:r>
          </w:p>
        </w:tc>
        <w:tc>
          <w:tcPr/>
          <w:p>
            <w:pPr>
              <w:pStyle w:val="Compact"/>
              <w:jc w:val="left"/>
            </w:pPr>
            <w:r>
              <w:t xml:space="preserve">Action</w:t>
            </w:r>
          </w:p>
        </w:tc>
        <w:tc>
          <w:tcPr/>
          <w:p>
            <w:pPr>
              <w:pStyle w:val="Compact"/>
              <w:jc w:val="left"/>
            </w:pPr>
            <w:r>
              <w:t xml:space="preserve">Effort</w:t>
            </w:r>
          </w:p>
        </w:tc>
      </w:tr>
      <w:tr>
        <w:tc>
          <w:tcPr/>
          <w:p>
            <w:pPr>
              <w:pStyle w:val="Compact"/>
              <w:jc w:val="left"/>
            </w:pPr>
            <w:r>
              <w:t xml:space="preserve">F2</w:t>
            </w:r>
          </w:p>
        </w:tc>
        <w:tc>
          <w:tcPr/>
          <w:p>
            <w:pPr>
              <w:pStyle w:val="Compact"/>
              <w:jc w:val="left"/>
            </w:pPr>
            <w:r>
              <w:t xml:space="preserve">Allocator relationship building + Collective2 track record</w:t>
            </w:r>
          </w:p>
        </w:tc>
        <w:tc>
          <w:tcPr/>
          <w:p>
            <w:pPr>
              <w:pStyle w:val="Compact"/>
              <w:jc w:val="left"/>
            </w:pPr>
            <w:r>
              <w:t xml:space="preserve">Ongoing, 12+ months</w:t>
            </w:r>
          </w:p>
        </w:tc>
      </w:tr>
      <w:tr>
        <w:tc>
          <w:tcPr/>
          <w:p>
            <w:pPr>
              <w:pStyle w:val="Compact"/>
              <w:jc w:val="left"/>
            </w:pPr>
            <w:r>
              <w:t xml:space="preserve">F3</w:t>
            </w:r>
          </w:p>
        </w:tc>
        <w:tc>
          <w:tcPr/>
          <w:p>
            <w:pPr>
              <w:pStyle w:val="Compact"/>
              <w:jc w:val="left"/>
            </w:pPr>
            <w:r>
              <w:t xml:space="preserve">Updated operating cost projections with compliance buffer</w:t>
            </w:r>
          </w:p>
        </w:tc>
        <w:tc>
          <w:tcPr/>
          <w:p>
            <w:pPr>
              <w:pStyle w:val="Compact"/>
              <w:jc w:val="left"/>
            </w:pPr>
            <w:r>
              <w:t xml:space="preserve">1 hour</w:t>
            </w:r>
          </w:p>
        </w:tc>
      </w:tr>
      <w:tr>
        <w:tc>
          <w:tcPr/>
          <w:p>
            <w:pPr>
              <w:pStyle w:val="Compact"/>
              <w:jc w:val="left"/>
            </w:pPr>
            <w:r>
              <w:t xml:space="preserve">D1</w:t>
            </w:r>
          </w:p>
        </w:tc>
        <w:tc>
          <w:tcPr/>
          <w:p>
            <w:pPr>
              <w:pStyle w:val="Compact"/>
              <w:jc w:val="left"/>
            </w:pPr>
            <w:r>
              <w:t xml:space="preserve">Short-selling capability via Options Desk or inverse ETFs</w:t>
            </w:r>
          </w:p>
        </w:tc>
        <w:tc>
          <w:tcPr/>
          <w:p>
            <w:pPr>
              <w:pStyle w:val="Compact"/>
              <w:jc w:val="left"/>
            </w:pPr>
            <w:r>
              <w:t xml:space="preserve">2–3 weeks</w:t>
            </w:r>
          </w:p>
        </w:tc>
      </w:tr>
      <w:tr>
        <w:tc>
          <w:tcPr/>
          <w:p>
            <w:pPr>
              <w:pStyle w:val="Compact"/>
              <w:jc w:val="left"/>
            </w:pPr>
            <w:r>
              <w:t xml:space="preserve">S3</w:t>
            </w:r>
          </w:p>
        </w:tc>
        <w:tc>
          <w:tcPr/>
          <w:p>
            <w:pPr>
              <w:pStyle w:val="Compact"/>
              <w:jc w:val="left"/>
            </w:pPr>
            <w:r>
              <w:t xml:space="preserve">Personal financial milestone plan + emergency fund</w:t>
            </w:r>
          </w:p>
        </w:tc>
        <w:tc>
          <w:tcPr/>
          <w:p>
            <w:pPr>
              <w:pStyle w:val="Compact"/>
              <w:jc w:val="left"/>
            </w:pPr>
            <w:r>
              <w:t xml:space="preserve">4 hours</w:t>
            </w:r>
          </w:p>
        </w:tc>
      </w:tr>
      <w:tr>
        <w:tc>
          <w:tcPr/>
          <w:p>
            <w:pPr>
              <w:pStyle w:val="Compact"/>
              <w:jc w:val="left"/>
            </w:pPr>
            <w:r>
              <w:t xml:space="preserve">T4</w:t>
            </w:r>
          </w:p>
        </w:tc>
        <w:tc>
          <w:tcPr/>
          <w:p>
            <w:pPr>
              <w:pStyle w:val="Compact"/>
              <w:jc w:val="left"/>
            </w:pPr>
            <w:r>
              <w:t xml:space="preserve">Database scaling evaluation (DuckDB/PostgreSQL migration if needed)</w:t>
            </w:r>
          </w:p>
        </w:tc>
        <w:tc>
          <w:tcPr/>
          <w:p>
            <w:pPr>
              <w:pStyle w:val="Compact"/>
              <w:jc w:val="left"/>
            </w:pPr>
            <w:r>
              <w:t xml:space="preserve">2 weeks if needed</w:t>
            </w:r>
          </w:p>
        </w:tc>
      </w:tr>
      <w:tr>
        <w:tc>
          <w:tcPr/>
          <w:p>
            <w:pPr>
              <w:pStyle w:val="Compact"/>
              <w:jc w:val="left"/>
            </w:pPr>
            <w:r>
              <w:t xml:space="preserve">O3</w:t>
            </w:r>
          </w:p>
        </w:tc>
        <w:tc>
          <w:tcPr/>
          <w:p>
            <w:pPr>
              <w:pStyle w:val="Compact"/>
              <w:jc w:val="left"/>
            </w:pPr>
            <w:r>
              <w:t xml:space="preserve">Model weight archiving across three locations</w:t>
            </w:r>
          </w:p>
        </w:tc>
        <w:tc>
          <w:tcPr/>
          <w:p>
            <w:pPr>
              <w:pStyle w:val="Compact"/>
              <w:jc w:val="left"/>
            </w:pPr>
            <w:r>
              <w:t xml:space="preserve">2 hours/quarter</w:t>
            </w:r>
          </w:p>
        </w:tc>
      </w:tr>
    </w:tbl>
    <w:p>
      <w:pPr>
        <w:pStyle w:val="BodyText"/>
      </w:pPr>
      <w:r>
        <w:rPr>
          <w:bCs/>
          <w:b/>
        </w:rPr>
        <w:t xml:space="preserve">Total Tier 3 effort: Variable; mostly ongoing processes rather than discrete projects</w:t>
      </w:r>
    </w:p>
    <w:p>
      <w:r>
        <w:pict>
          <v:rect style="width:0;height:1.5pt" o:hralign="center" o:hrstd="t" o:hr="t"/>
        </w:pict>
      </w:r>
    </w:p>
    <w:p>
      <w:pPr>
        <w:pStyle w:val="FirstParagraph"/>
      </w:pPr>
      <w:r>
        <w:rPr>
          <w:iCs/>
          <w:i/>
        </w:rPr>
        <w:t xml:space="preserve">Halcyon Lab — Quality over quantity, evidence over ambition</w:t>
      </w:r>
    </w:p>
    <w:p>
      <w:pPr>
        <w:pStyle w:val="BodyText"/>
      </w:pPr>
      <w:r>
        <w:rPr>
          <w:iCs/>
          <w:i/>
        </w:rPr>
        <w:t xml:space="preserve">github.com/millerrc18/halcyon-lab | halcyonlabai@gmail.com</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Halcyon Lab: AI-Powered Autonomous Equity Trading</dc:title>
  <dc:creator>Ryan Miller | millerrc18@github.com</dc:creator>
  <cp:keywords/>
  <dcterms:created xsi:type="dcterms:W3CDTF">2026-03-26T03:01:25Z</dcterms:created>
  <dcterms:modified xsi:type="dcterms:W3CDTF">2026-03-26T03:01:25Z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Business Plan &amp; Operating Manual — March 2026</vt:lpwstr>
  </property>
</Properties>
</file>