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936"/>
            <w:shd w:fill="DCE6F1"/>
            <w:tcBorders>
              <w:left w:val="single" w:sz="10" w:color="9FB7D3"/>
              <w:top w:val="single" w:sz="10" w:color="9FB7D3"/>
              <w:right w:val="single" w:sz="10" w:color="9FB7D3"/>
              <w:bottom w:val="single" w:sz="10" w:color="9FB7D3"/>
            </w:tcBorders>
            <w:vAlign w:val="center"/>
          </w:tcPr>
          <w:p>
            <w:r>
              <w:rPr>
                <w:rFonts w:ascii="Aptos Display" w:hAnsi="Aptos Display"/>
                <w:b/>
                <w:color w:val="153157"/>
                <w:sz w:val="44"/>
              </w:rPr>
              <w:t>AI Research Desk Project Charter</w:t>
            </w:r>
          </w:p>
          <w:p>
            <w:pPr>
              <w:pStyle w:val="SubtitleCustom"/>
            </w:pPr>
            <w:r>
              <w:t>Draft Version 1  |  March 21, 2026</w:t>
            </w:r>
          </w:p>
          <w:p>
            <w:pPr>
              <w:spacing w:before="20" w:after="0"/>
            </w:pPr>
            <w:r>
              <w:rPr>
                <w:rFonts w:ascii="Aptos" w:hAnsi="Aptos"/>
                <w:color w:val="495057"/>
                <w:sz w:val="20"/>
              </w:rPr>
              <w:t>Purpose: establish the mission, scope, controls, and success criteria for an always-on AI research desk that supports disciplined investing without degrading 9-to-5 performance.</w:t>
            </w:r>
          </w:p>
        </w:tc>
      </w:tr>
    </w:tbl>
    <w:p/>
    <w:tbl>
      <w:tblPr>
        <w:tblW w:type="auto" w:w="0"/>
        <w:jc w:val="center"/>
        <w:tblLayout w:type="fixed"/>
        <w:tblLook w:firstColumn="1" w:firstRow="1" w:lastColumn="0" w:lastRow="0" w:noHBand="0" w:noVBand="1" w:val="04A0"/>
      </w:tblPr>
      <w:tblGrid>
        <w:gridCol w:w="9792"/>
      </w:tblGrid>
      <w:tr>
        <w:tc>
          <w:tcPr>
            <w:tcW w:type="dxa" w:w="9936"/>
            <w:shd w:fill="F5F8FC"/>
            <w:tcBorders>
              <w:left w:val="single" w:sz="8" w:color="C8D5E4"/>
              <w:top w:val="single" w:sz="8" w:color="C8D5E4"/>
              <w:right w:val="single" w:sz="8" w:color="C8D5E4"/>
              <w:bottom w:val="single" w:sz="8" w:color="C8D5E4"/>
            </w:tcBorders>
          </w:tcPr>
          <w:p>
            <w:r>
              <w:rPr>
                <w:b/>
                <w:color w:val="153157"/>
                <w:sz w:val="21"/>
              </w:rPr>
              <w:t>Executive Summary</w:t>
            </w:r>
          </w:p>
          <w:p>
            <w:pPr>
              <w:spacing w:after="0"/>
            </w:pPr>
            <w:r>
              <w:t>This project will begin as an approval-gated AI research desk, not an autonomous trader. The system will continuously monitor a defined stock universe, produce institutional-style trade packets, shadow-trade every recommendation in a paper environment, and learn from the full recommendation-to-outcome journal. Version 1 will prioritize selective short swing opportunities that fit around a full-time work schedule, while preserving a deliberate future path to intraday modes once the system proves its value and discipline.</w:t>
            </w:r>
          </w:p>
        </w:tc>
      </w:tr>
    </w:tbl>
    <w:p/>
    <w:p>
      <w:pPr>
        <w:pStyle w:val="Heading1Custom"/>
        <w:keepNext/>
      </w:pPr>
      <w:r>
        <w:t>1. Mission</w:t>
      </w:r>
    </w:p>
    <w:p>
      <w:pPr/>
      <w:r>
        <w:t>Build an AI-powered personal research desk that continuously scans markets, surfaces high-conviction opportunities, packages each idea in a disciplined trade memo, and supports approval-based execution under strict risk controls.</w:t>
      </w:r>
    </w:p>
    <w:p>
      <w:pPr/>
      <w:r>
        <w:t>The assistant exists to help Ryan participate in markets more seriously and consistently without requiring constant screen time or compromising performance in his primary career.</w:t>
      </w:r>
    </w:p>
    <w:p>
      <w:pPr>
        <w:pStyle w:val="Heading1Custom"/>
        <w:keepNext/>
      </w:pPr>
      <w:r>
        <w:t>2. Problem Being Solved</w:t>
      </w:r>
    </w:p>
    <w:p>
      <w:pPr/>
      <w:r>
        <w:t>The core gap is not a lack of interest or willingness. It is the lack of time to follow markets at a professional level during the workday. Relevant information moves continuously, yet manual monitoring competes directly with job performance. The project aims to close that gap by creating a tireless analyst that researches in the background, escalates only the best ideas, and preserves human approval before capital is put at risk.</w:t>
      </w:r>
    </w:p>
    <w:p>
      <w:pPr>
        <w:pStyle w:val="Heading1Custom"/>
        <w:keepNext/>
      </w:pPr>
      <w:r>
        <w:t>3. Guiding Principles</w:t>
      </w:r>
    </w:p>
    <w:p>
      <w:pPr>
        <w:pStyle w:val="ListBullet"/>
        <w:spacing w:after="60"/>
        <w:ind w:left="259"/>
      </w:pPr>
      <w:r>
        <w:t>Research continuously, interrupt sparingly.</w:t>
      </w:r>
    </w:p>
    <w:p>
      <w:pPr>
        <w:pStyle w:val="ListBullet"/>
        <w:spacing w:after="60"/>
        <w:ind w:left="259"/>
      </w:pPr>
      <w:r>
        <w:t>Bring fewer ideas, but better ideas.</w:t>
      </w:r>
    </w:p>
    <w:p>
      <w:pPr>
        <w:pStyle w:val="ListBullet"/>
        <w:spacing w:after="60"/>
        <w:ind w:left="259"/>
      </w:pPr>
      <w:r>
        <w:t>Protect downside first. Every idea must include invalidation and risk controls.</w:t>
      </w:r>
    </w:p>
    <w:p>
      <w:pPr>
        <w:pStyle w:val="ListBullet"/>
        <w:spacing w:after="60"/>
        <w:ind w:left="259"/>
      </w:pPr>
      <w:r>
        <w:t>The system must prove itself before gaining more responsibility.</w:t>
      </w:r>
    </w:p>
    <w:p>
      <w:pPr>
        <w:pStyle w:val="ListBullet"/>
        <w:spacing w:after="60"/>
        <w:ind w:left="259"/>
      </w:pPr>
      <w:r>
        <w:t>Focus beats feature creep. New complexity is not added until the current version is tested and scored.</w:t>
      </w:r>
    </w:p>
    <w:p>
      <w:pPr>
        <w:pStyle w:val="Heading1Custom"/>
        <w:keepNext/>
      </w:pPr>
      <w:r>
        <w:t>4. Version 1 Scope and Non-Goals</w:t>
      </w:r>
    </w:p>
    <w:tbl>
      <w:tblPr>
        <w:tblW w:type="auto" w:w="0"/>
        <w:jc w:val="center"/>
        <w:tblLayout w:type="fixed"/>
        <w:tblLook w:firstColumn="1" w:firstRow="1" w:lastColumn="0" w:lastRow="0" w:noHBand="0" w:noVBand="1" w:val="04A0"/>
      </w:tblPr>
      <w:tblGrid>
        <w:gridCol w:w="4680"/>
        <w:gridCol w:w="4680"/>
      </w:tblGrid>
      <w:tr>
        <w:tc>
          <w:tcPr>
            <w:tcW w:type="dxa" w:w="4968"/>
            <w:shd w:fill="DCE6F1"/>
            <w:tcBorders>
              <w:left w:val="single" w:sz="6" w:color="B8C6D6"/>
              <w:top w:val="single" w:sz="6" w:color="B8C6D6"/>
              <w:right w:val="single" w:sz="6" w:color="B8C6D6"/>
              <w:bottom w:val="single" w:sz="6" w:color="B8C6D6"/>
            </w:tcBorders>
          </w:tcPr>
          <w:p>
            <w:pPr>
              <w:jc w:val="center"/>
            </w:pPr>
            <w:r>
              <w:rPr>
                <w:b/>
                <w:color w:val="153157"/>
              </w:rPr>
              <w:t>In Scope</w:t>
            </w:r>
          </w:p>
        </w:tc>
        <w:tc>
          <w:tcPr>
            <w:tcW w:type="dxa" w:w="4968"/>
            <w:shd w:fill="DCE6F1"/>
            <w:tcBorders>
              <w:left w:val="single" w:sz="6" w:color="B8C6D6"/>
              <w:top w:val="single" w:sz="6" w:color="B8C6D6"/>
              <w:right w:val="single" w:sz="6" w:color="B8C6D6"/>
              <w:bottom w:val="single" w:sz="6" w:color="B8C6D6"/>
            </w:tcBorders>
          </w:tcPr>
          <w:p>
            <w:pPr>
              <w:jc w:val="center"/>
            </w:pPr>
            <w:r>
              <w:rPr>
                <w:b/>
                <w:color w:val="153157"/>
              </w:rPr>
              <w:t>Not in Scope Yet</w:t>
            </w:r>
          </w:p>
        </w:tc>
      </w:tr>
      <w:tr>
        <w:tc>
          <w:tcPr>
            <w:tcW w:type="dxa" w:w="4680"/>
            <w:tcBorders>
              <w:left w:val="single" w:sz="6" w:color="B8C6D6"/>
              <w:top w:val="single" w:sz="6" w:color="B8C6D6"/>
              <w:right w:val="single" w:sz="6" w:color="B8C6D6"/>
              <w:bottom w:val="single" w:sz="6" w:color="B8C6D6"/>
            </w:tcBorders>
          </w:tcPr>
          <w:p>
            <w:r>
              <w:t>Always-on market scanning over a defined U.S. equity universe</w:t>
            </w:r>
          </w:p>
        </w:tc>
        <w:tc>
          <w:tcPr>
            <w:tcW w:type="dxa" w:w="4680"/>
            <w:tcBorders>
              <w:left w:val="single" w:sz="6" w:color="B8C6D6"/>
              <w:top w:val="single" w:sz="6" w:color="B8C6D6"/>
              <w:right w:val="single" w:sz="6" w:color="B8C6D6"/>
              <w:bottom w:val="single" w:sz="6" w:color="B8C6D6"/>
            </w:tcBorders>
          </w:tcPr>
          <w:p>
            <w:r>
              <w:t>Autonomous live trading without explicit approval</w:t>
            </w:r>
          </w:p>
        </w:tc>
      </w:tr>
      <w:tr>
        <w:tc>
          <w:tcPr>
            <w:tcW w:type="dxa" w:w="4680"/>
            <w:tcBorders>
              <w:left w:val="single" w:sz="6" w:color="B8C6D6"/>
              <w:top w:val="single" w:sz="6" w:color="B8C6D6"/>
              <w:right w:val="single" w:sz="6" w:color="B8C6D6"/>
              <w:bottom w:val="single" w:sz="6" w:color="B8C6D6"/>
            </w:tcBorders>
          </w:tcPr>
          <w:p>
            <w:r>
              <w:t>Institutional-style trade packets with thesis, entry zone, stop, target, risks, and monitoring plan</w:t>
            </w:r>
          </w:p>
        </w:tc>
        <w:tc>
          <w:tcPr>
            <w:tcW w:type="dxa" w:w="4680"/>
            <w:tcBorders>
              <w:left w:val="single" w:sz="6" w:color="B8C6D6"/>
              <w:top w:val="single" w:sz="6" w:color="B8C6D6"/>
              <w:right w:val="single" w:sz="6" w:color="B8C6D6"/>
              <w:bottom w:val="single" w:sz="6" w:color="B8C6D6"/>
            </w:tcBorders>
          </w:tcPr>
          <w:p>
            <w:r>
              <w:t>Options, leverage, or multi-asset expansion</w:t>
            </w:r>
          </w:p>
        </w:tc>
      </w:tr>
      <w:tr>
        <w:tc>
          <w:tcPr>
            <w:tcW w:type="dxa" w:w="4680"/>
            <w:tcBorders>
              <w:left w:val="single" w:sz="6" w:color="B8C6D6"/>
              <w:top w:val="single" w:sz="6" w:color="B8C6D6"/>
              <w:right w:val="single" w:sz="6" w:color="B8C6D6"/>
              <w:bottom w:val="single" w:sz="6" w:color="B8C6D6"/>
            </w:tcBorders>
          </w:tcPr>
          <w:p>
            <w:r>
              <w:t>Shadow paper trading of every recommendation</w:t>
            </w:r>
          </w:p>
        </w:tc>
        <w:tc>
          <w:tcPr>
            <w:tcW w:type="dxa" w:w="4680"/>
            <w:tcBorders>
              <w:left w:val="single" w:sz="6" w:color="B8C6D6"/>
              <w:top w:val="single" w:sz="6" w:color="B8C6D6"/>
              <w:right w:val="single" w:sz="6" w:color="B8C6D6"/>
              <w:bottom w:val="single" w:sz="6" w:color="B8C6D6"/>
            </w:tcBorders>
          </w:tcPr>
          <w:p>
            <w:r>
              <w:t>Multiple strategy families running at once</w:t>
            </w:r>
          </w:p>
        </w:tc>
      </w:tr>
      <w:tr>
        <w:tc>
          <w:tcPr>
            <w:tcW w:type="dxa" w:w="4680"/>
            <w:tcBorders>
              <w:left w:val="single" w:sz="6" w:color="B8C6D6"/>
              <w:top w:val="single" w:sz="6" w:color="B8C6D6"/>
              <w:right w:val="single" w:sz="6" w:color="B8C6D6"/>
              <w:bottom w:val="single" w:sz="6" w:color="B8C6D6"/>
            </w:tcBorders>
          </w:tcPr>
          <w:p>
            <w:r>
              <w:t>Manual approval by Ryan for any live action</w:t>
            </w:r>
          </w:p>
        </w:tc>
        <w:tc>
          <w:tcPr>
            <w:tcW w:type="dxa" w:w="4680"/>
            <w:tcBorders>
              <w:left w:val="single" w:sz="6" w:color="B8C6D6"/>
              <w:top w:val="single" w:sz="6" w:color="B8C6D6"/>
              <w:right w:val="single" w:sz="6" w:color="B8C6D6"/>
              <w:bottom w:val="single" w:sz="6" w:color="B8C6D6"/>
            </w:tcBorders>
          </w:tcPr>
          <w:p>
            <w:r>
              <w:t>Fine-tuning or reinforcement learning in Version 1</w:t>
            </w:r>
          </w:p>
        </w:tc>
      </w:tr>
      <w:tr>
        <w:tc>
          <w:tcPr>
            <w:tcW w:type="dxa" w:w="4680"/>
            <w:tcBorders>
              <w:left w:val="single" w:sz="6" w:color="B8C6D6"/>
              <w:top w:val="single" w:sz="6" w:color="B8C6D6"/>
              <w:right w:val="single" w:sz="6" w:color="B8C6D6"/>
              <w:bottom w:val="single" w:sz="6" w:color="B8C6D6"/>
            </w:tcBorders>
          </w:tcPr>
          <w:p>
            <w:r>
              <w:t>Recommendation journal, outcome logging, and post-trade review</w:t>
            </w:r>
          </w:p>
        </w:tc>
        <w:tc>
          <w:tcPr>
            <w:tcW w:type="dxa" w:w="4680"/>
            <w:tcBorders>
              <w:left w:val="single" w:sz="6" w:color="B8C6D6"/>
              <w:top w:val="single" w:sz="6" w:color="B8C6D6"/>
              <w:right w:val="single" w:sz="6" w:color="B8C6D6"/>
              <w:bottom w:val="single" w:sz="6" w:color="B8C6D6"/>
            </w:tcBorders>
          </w:tcPr>
          <w:p>
            <w:r>
              <w:t>A complex dashboard before the core workflow is proven</w:t>
            </w:r>
          </w:p>
        </w:tc>
      </w:tr>
    </w:tbl>
    <w:p/>
    <w:p>
      <w:pPr>
        <w:pStyle w:val="Heading1Custom"/>
        <w:keepNext/>
      </w:pPr>
      <w:r>
        <w:t>5. Current Operating Model</w:t>
      </w:r>
    </w:p>
    <w:p>
      <w:pPr/>
      <w:r>
        <w:t>The charter intentionally separates the permanent mission from the current operating mode. The mission remains stable; the mode can evolve over time if the assistant proves useful and remains non-disruptive to work.</w:t>
      </w:r>
    </w:p>
    <w:tbl>
      <w:tblPr>
        <w:tblW w:type="auto" w:w="0"/>
        <w:jc w:val="center"/>
        <w:tblLayout w:type="fixed"/>
        <w:tblLook w:firstColumn="1" w:firstRow="1" w:lastColumn="0" w:lastRow="0" w:noHBand="0" w:noVBand="1" w:val="04A0"/>
      </w:tblPr>
      <w:tblGrid>
        <w:gridCol w:w="3168"/>
        <w:gridCol w:w="6192"/>
      </w:tblGrid>
      <w:tr>
        <w:tc>
          <w:tcPr>
            <w:tcW w:type="dxa" w:w="4968"/>
            <w:shd w:fill="DCE6F1"/>
            <w:tcBorders>
              <w:left w:val="single" w:sz="6" w:color="B8C6D6"/>
              <w:top w:val="single" w:sz="6" w:color="B8C6D6"/>
              <w:right w:val="single" w:sz="6" w:color="B8C6D6"/>
              <w:bottom w:val="single" w:sz="6" w:color="B8C6D6"/>
            </w:tcBorders>
          </w:tcPr>
          <w:p>
            <w:pPr>
              <w:jc w:val="center"/>
            </w:pPr>
            <w:r>
              <w:rPr>
                <w:b/>
                <w:color w:val="153157"/>
              </w:rPr>
              <w:t>Component</w:t>
            </w:r>
          </w:p>
        </w:tc>
        <w:tc>
          <w:tcPr>
            <w:tcW w:type="dxa" w:w="4968"/>
            <w:shd w:fill="DCE6F1"/>
            <w:tcBorders>
              <w:left w:val="single" w:sz="6" w:color="B8C6D6"/>
              <w:top w:val="single" w:sz="6" w:color="B8C6D6"/>
              <w:right w:val="single" w:sz="6" w:color="B8C6D6"/>
              <w:bottom w:val="single" w:sz="6" w:color="B8C6D6"/>
            </w:tcBorders>
          </w:tcPr>
          <w:p>
            <w:pPr>
              <w:jc w:val="center"/>
            </w:pPr>
            <w:r>
              <w:rPr>
                <w:b/>
                <w:color w:val="153157"/>
              </w:rPr>
              <w:t>Version 1 Decision</w:t>
            </w:r>
          </w:p>
        </w:tc>
      </w:tr>
      <w:tr>
        <w:tc>
          <w:tcPr>
            <w:tcW w:type="dxa" w:w="3168"/>
            <w:tcBorders>
              <w:left w:val="single" w:sz="6" w:color="B8C6D6"/>
              <w:top w:val="single" w:sz="6" w:color="B8C6D6"/>
              <w:right w:val="single" w:sz="6" w:color="B8C6D6"/>
              <w:bottom w:val="single" w:sz="6" w:color="B8C6D6"/>
            </w:tcBorders>
          </w:tcPr>
          <w:p>
            <w:r>
              <w:rPr>
                <w:b/>
              </w:rPr>
              <w:t>Operating model</w:t>
            </w:r>
          </w:p>
        </w:tc>
        <w:tc>
          <w:tcPr>
            <w:tcW w:type="dxa" w:w="6192"/>
            <w:tcBorders>
              <w:left w:val="single" w:sz="6" w:color="B8C6D6"/>
              <w:top w:val="single" w:sz="6" w:color="B8C6D6"/>
              <w:right w:val="single" w:sz="6" w:color="B8C6D6"/>
              <w:bottom w:val="single" w:sz="6" w:color="B8C6D6"/>
            </w:tcBorders>
          </w:tcPr>
          <w:p>
            <w:r>
              <w:t>API-first research desk with approval-gated decisions and shadow paper execution</w:t>
            </w:r>
          </w:p>
        </w:tc>
      </w:tr>
      <w:tr>
        <w:tc>
          <w:tcPr>
            <w:tcW w:type="dxa" w:w="3168"/>
            <w:tcBorders>
              <w:left w:val="single" w:sz="6" w:color="B8C6D6"/>
              <w:top w:val="single" w:sz="6" w:color="B8C6D6"/>
              <w:right w:val="single" w:sz="6" w:color="B8C6D6"/>
              <w:bottom w:val="single" w:sz="6" w:color="B8C6D6"/>
            </w:tcBorders>
          </w:tcPr>
          <w:p>
            <w:r>
              <w:rPr>
                <w:b/>
              </w:rPr>
              <w:t>Initial trading mode</w:t>
            </w:r>
          </w:p>
        </w:tc>
        <w:tc>
          <w:tcPr>
            <w:tcW w:type="dxa" w:w="6192"/>
            <w:tcBorders>
              <w:left w:val="single" w:sz="6" w:color="B8C6D6"/>
              <w:top w:val="single" w:sz="6" w:color="B8C6D6"/>
              <w:right w:val="single" w:sz="6" w:color="B8C6D6"/>
              <w:bottom w:val="single" w:sz="6" w:color="B8C6D6"/>
            </w:tcBorders>
          </w:tcPr>
          <w:p>
            <w:r>
              <w:t>Short swing U.S. equities selected to fit current schedule and minimize workday disruption</w:t>
            </w:r>
          </w:p>
        </w:tc>
      </w:tr>
      <w:tr>
        <w:tc>
          <w:tcPr>
            <w:tcW w:type="dxa" w:w="3168"/>
            <w:tcBorders>
              <w:left w:val="single" w:sz="6" w:color="B8C6D6"/>
              <w:top w:val="single" w:sz="6" w:color="B8C6D6"/>
              <w:right w:val="single" w:sz="6" w:color="B8C6D6"/>
              <w:bottom w:val="single" w:sz="6" w:color="B8C6D6"/>
            </w:tcBorders>
          </w:tcPr>
          <w:p>
            <w:r>
              <w:rPr>
                <w:b/>
              </w:rPr>
              <w:t>Future expansion</w:t>
            </w:r>
          </w:p>
        </w:tc>
        <w:tc>
          <w:tcPr>
            <w:tcW w:type="dxa" w:w="6192"/>
            <w:tcBorders>
              <w:left w:val="single" w:sz="6" w:color="B8C6D6"/>
              <w:top w:val="single" w:sz="6" w:color="B8C6D6"/>
              <w:right w:val="single" w:sz="6" w:color="B8C6D6"/>
              <w:bottom w:val="single" w:sz="6" w:color="B8C6D6"/>
            </w:tcBorders>
          </w:tcPr>
          <w:p>
            <w:r>
              <w:t>Intraday mode allowed later if the assistant demonstrates quality, selectivity, and operational discipline</w:t>
            </w:r>
          </w:p>
        </w:tc>
      </w:tr>
      <w:tr>
        <w:tc>
          <w:tcPr>
            <w:tcW w:type="dxa" w:w="3168"/>
            <w:tcBorders>
              <w:left w:val="single" w:sz="6" w:color="B8C6D6"/>
              <w:top w:val="single" w:sz="6" w:color="B8C6D6"/>
              <w:right w:val="single" w:sz="6" w:color="B8C6D6"/>
              <w:bottom w:val="single" w:sz="6" w:color="B8C6D6"/>
            </w:tcBorders>
          </w:tcPr>
          <w:p>
            <w:r>
              <w:rPr>
                <w:b/>
              </w:rPr>
              <w:t>Learning approach</w:t>
            </w:r>
          </w:p>
        </w:tc>
        <w:tc>
          <w:tcPr>
            <w:tcW w:type="dxa" w:w="6192"/>
            <w:tcBorders>
              <w:left w:val="single" w:sz="6" w:color="B8C6D6"/>
              <w:top w:val="single" w:sz="6" w:color="B8C6D6"/>
              <w:right w:val="single" w:sz="6" w:color="B8C6D6"/>
              <w:bottom w:val="single" w:sz="6" w:color="B8C6D6"/>
            </w:tcBorders>
          </w:tcPr>
          <w:p>
            <w:r>
              <w:t>Prompt plus structured data plus journal-driven memory first; no fine-tuning in Version 1</w:t>
            </w:r>
          </w:p>
        </w:tc>
      </w:tr>
      <w:tr>
        <w:tc>
          <w:tcPr>
            <w:tcW w:type="dxa" w:w="3168"/>
            <w:tcBorders>
              <w:left w:val="single" w:sz="6" w:color="B8C6D6"/>
              <w:top w:val="single" w:sz="6" w:color="B8C6D6"/>
              <w:right w:val="single" w:sz="6" w:color="B8C6D6"/>
              <w:bottom w:val="single" w:sz="6" w:color="B8C6D6"/>
            </w:tcBorders>
          </w:tcPr>
          <w:p>
            <w:r>
              <w:rPr>
                <w:b/>
              </w:rPr>
              <w:t>Bootcamp</w:t>
            </w:r>
          </w:p>
        </w:tc>
        <w:tc>
          <w:tcPr>
            <w:tcW w:type="dxa" w:w="6192"/>
            <w:tcBorders>
              <w:left w:val="single" w:sz="6" w:color="B8C6D6"/>
              <w:top w:val="single" w:sz="6" w:color="B8C6D6"/>
              <w:right w:val="single" w:sz="6" w:color="B8C6D6"/>
              <w:bottom w:val="single" w:sz="6" w:color="B8C6D6"/>
            </w:tcBorders>
          </w:tcPr>
          <w:p>
            <w:r>
              <w:t>30-day shadow paper-trading bootcamp in which every recommendation is logged and scored</w:t>
            </w:r>
          </w:p>
        </w:tc>
      </w:tr>
      <w:tr>
        <w:tc>
          <w:tcPr>
            <w:tcW w:type="dxa" w:w="3168"/>
            <w:tcBorders>
              <w:left w:val="single" w:sz="6" w:color="B8C6D6"/>
              <w:top w:val="single" w:sz="6" w:color="B8C6D6"/>
              <w:right w:val="single" w:sz="6" w:color="B8C6D6"/>
              <w:bottom w:val="single" w:sz="6" w:color="B8C6D6"/>
            </w:tcBorders>
          </w:tcPr>
          <w:p>
            <w:r>
              <w:rPr>
                <w:b/>
              </w:rPr>
              <w:t>Communication</w:t>
            </w:r>
          </w:p>
        </w:tc>
        <w:tc>
          <w:tcPr>
            <w:tcW w:type="dxa" w:w="6192"/>
            <w:tcBorders>
              <w:left w:val="single" w:sz="6" w:color="B8C6D6"/>
              <w:top w:val="single" w:sz="6" w:color="B8C6D6"/>
              <w:right w:val="single" w:sz="6" w:color="B8C6D6"/>
              <w:bottom w:val="single" w:sz="6" w:color="B8C6D6"/>
            </w:tcBorders>
          </w:tcPr>
          <w:p>
            <w:r>
              <w:t>High-conviction trade packets and end-of-day recap sent to Ryan's work email from a dedicated assistant identity</w:t>
            </w:r>
          </w:p>
        </w:tc>
      </w:tr>
      <w:tr>
        <w:tc>
          <w:tcPr>
            <w:tcW w:type="dxa" w:w="3168"/>
            <w:tcBorders>
              <w:left w:val="single" w:sz="6" w:color="B8C6D6"/>
              <w:top w:val="single" w:sz="6" w:color="B8C6D6"/>
              <w:right w:val="single" w:sz="6" w:color="B8C6D6"/>
              <w:bottom w:val="single" w:sz="6" w:color="B8C6D6"/>
            </w:tcBorders>
          </w:tcPr>
          <w:p>
            <w:r>
              <w:rPr>
                <w:b/>
              </w:rPr>
              <w:t>Research stack</w:t>
            </w:r>
          </w:p>
        </w:tc>
        <w:tc>
          <w:tcPr>
            <w:tcW w:type="dxa" w:w="6192"/>
            <w:tcBorders>
              <w:left w:val="single" w:sz="6" w:color="B8C6D6"/>
              <w:top w:val="single" w:sz="6" w:color="B8C6D6"/>
              <w:right w:val="single" w:sz="6" w:color="B8C6D6"/>
              <w:bottom w:val="single" w:sz="6" w:color="B8C6D6"/>
            </w:tcBorders>
          </w:tcPr>
          <w:p>
            <w:r>
              <w:t>Python core with vectorbt for rapid testing and LEAN as the promotion gate for more rigorous validation</w:t>
            </w:r>
          </w:p>
        </w:tc>
      </w:tr>
    </w:tbl>
    <w:p/>
    <w:p>
      <w:pPr>
        <w:pStyle w:val="Heading1Custom"/>
        <w:keepNext/>
      </w:pPr>
      <w:r>
        <w:t>6. Roles and Decision Rights</w:t>
      </w:r>
    </w:p>
    <w:tbl>
      <w:tblPr>
        <w:tblW w:type="auto" w:w="0"/>
        <w:jc w:val="center"/>
        <w:tblLayout w:type="fixed"/>
        <w:tblLook w:firstColumn="1" w:firstRow="1" w:lastColumn="0" w:lastRow="0" w:noHBand="0" w:noVBand="1" w:val="04A0"/>
      </w:tblPr>
      <w:tblGrid>
        <w:gridCol w:w="3024"/>
        <w:gridCol w:w="6336"/>
      </w:tblGrid>
      <w:tr>
        <w:tc>
          <w:tcPr>
            <w:tcW w:type="dxa" w:w="4968"/>
            <w:shd w:fill="DCE6F1"/>
            <w:tcBorders>
              <w:left w:val="single" w:sz="6" w:color="B8C6D6"/>
              <w:top w:val="single" w:sz="6" w:color="B8C6D6"/>
              <w:right w:val="single" w:sz="6" w:color="B8C6D6"/>
              <w:bottom w:val="single" w:sz="6" w:color="B8C6D6"/>
            </w:tcBorders>
          </w:tcPr>
          <w:p>
            <w:pPr>
              <w:jc w:val="center"/>
            </w:pPr>
            <w:r>
              <w:rPr>
                <w:b/>
                <w:color w:val="153157"/>
              </w:rPr>
              <w:t>Role</w:t>
            </w:r>
          </w:p>
        </w:tc>
        <w:tc>
          <w:tcPr>
            <w:tcW w:type="dxa" w:w="4968"/>
            <w:shd w:fill="DCE6F1"/>
            <w:tcBorders>
              <w:left w:val="single" w:sz="6" w:color="B8C6D6"/>
              <w:top w:val="single" w:sz="6" w:color="B8C6D6"/>
              <w:right w:val="single" w:sz="6" w:color="B8C6D6"/>
              <w:bottom w:val="single" w:sz="6" w:color="B8C6D6"/>
            </w:tcBorders>
          </w:tcPr>
          <w:p>
            <w:pPr>
              <w:jc w:val="center"/>
            </w:pPr>
            <w:r>
              <w:rPr>
                <w:b/>
                <w:color w:val="153157"/>
              </w:rPr>
              <w:t>Responsibility</w:t>
            </w:r>
          </w:p>
        </w:tc>
      </w:tr>
      <w:tr>
        <w:tc>
          <w:tcPr>
            <w:tcW w:type="dxa" w:w="3024"/>
            <w:tcBorders>
              <w:left w:val="single" w:sz="6" w:color="B8C6D6"/>
              <w:top w:val="single" w:sz="6" w:color="B8C6D6"/>
              <w:right w:val="single" w:sz="6" w:color="B8C6D6"/>
              <w:bottom w:val="single" w:sz="6" w:color="B8C6D6"/>
            </w:tcBorders>
          </w:tcPr>
          <w:p>
            <w:r>
              <w:rPr>
                <w:b/>
              </w:rPr>
              <w:t>Ryan</w:t>
            </w:r>
          </w:p>
        </w:tc>
        <w:tc>
          <w:tcPr>
            <w:tcW w:type="dxa" w:w="6336"/>
            <w:tcBorders>
              <w:left w:val="single" w:sz="6" w:color="B8C6D6"/>
              <w:top w:val="single" w:sz="6" w:color="B8C6D6"/>
              <w:right w:val="single" w:sz="6" w:color="B8C6D6"/>
              <w:bottom w:val="single" w:sz="6" w:color="B8C6D6"/>
            </w:tcBorders>
          </w:tcPr>
          <w:p>
            <w:r>
              <w:t>Final decision-maker. Approves or rejects live actions, sets capital limits, and reviews the quality of the assistant's work.</w:t>
            </w:r>
          </w:p>
        </w:tc>
      </w:tr>
      <w:tr>
        <w:tc>
          <w:tcPr>
            <w:tcW w:type="dxa" w:w="3024"/>
            <w:tcBorders>
              <w:left w:val="single" w:sz="6" w:color="B8C6D6"/>
              <w:top w:val="single" w:sz="6" w:color="B8C6D6"/>
              <w:right w:val="single" w:sz="6" w:color="B8C6D6"/>
              <w:bottom w:val="single" w:sz="6" w:color="B8C6D6"/>
            </w:tcBorders>
          </w:tcPr>
          <w:p>
            <w:r>
              <w:rPr>
                <w:b/>
              </w:rPr>
              <w:t>AI research desk</w:t>
            </w:r>
          </w:p>
        </w:tc>
        <w:tc>
          <w:tcPr>
            <w:tcW w:type="dxa" w:w="6336"/>
            <w:tcBorders>
              <w:left w:val="single" w:sz="6" w:color="B8C6D6"/>
              <w:top w:val="single" w:sz="6" w:color="B8C6D6"/>
              <w:right w:val="single" w:sz="6" w:color="B8C6D6"/>
              <w:bottom w:val="single" w:sz="6" w:color="B8C6D6"/>
            </w:tcBorders>
          </w:tcPr>
          <w:p>
            <w:r>
              <w:t>Scans markets, ranks opportunities, drafts trade packets, maintains watchlists, tracks open theses, and proposes actions.</w:t>
            </w:r>
          </w:p>
        </w:tc>
      </w:tr>
      <w:tr>
        <w:tc>
          <w:tcPr>
            <w:tcW w:type="dxa" w:w="3024"/>
            <w:tcBorders>
              <w:left w:val="single" w:sz="6" w:color="B8C6D6"/>
              <w:top w:val="single" w:sz="6" w:color="B8C6D6"/>
              <w:right w:val="single" w:sz="6" w:color="B8C6D6"/>
              <w:bottom w:val="single" w:sz="6" w:color="B8C6D6"/>
            </w:tcBorders>
          </w:tcPr>
          <w:p>
            <w:r>
              <w:rPr>
                <w:b/>
              </w:rPr>
              <w:t>Shadow paper ledger</w:t>
            </w:r>
          </w:p>
        </w:tc>
        <w:tc>
          <w:tcPr>
            <w:tcW w:type="dxa" w:w="6336"/>
            <w:tcBorders>
              <w:left w:val="single" w:sz="6" w:color="B8C6D6"/>
              <w:top w:val="single" w:sz="6" w:color="B8C6D6"/>
              <w:right w:val="single" w:sz="6" w:color="B8C6D6"/>
              <w:bottom w:val="single" w:sz="6" w:color="B8C6D6"/>
            </w:tcBorders>
          </w:tcPr>
          <w:p>
            <w:r>
              <w:t>Captures what the assistant would have done regardless of whether a live trade is taken, enabling clean scoring and review.</w:t>
            </w:r>
          </w:p>
        </w:tc>
      </w:tr>
      <w:tr>
        <w:tc>
          <w:tcPr>
            <w:tcW w:type="dxa" w:w="3024"/>
            <w:tcBorders>
              <w:left w:val="single" w:sz="6" w:color="B8C6D6"/>
              <w:top w:val="single" w:sz="6" w:color="B8C6D6"/>
              <w:right w:val="single" w:sz="6" w:color="B8C6D6"/>
              <w:bottom w:val="single" w:sz="6" w:color="B8C6D6"/>
            </w:tcBorders>
          </w:tcPr>
          <w:p>
            <w:r>
              <w:rPr>
                <w:b/>
              </w:rPr>
              <w:t>Risk engine</w:t>
            </w:r>
          </w:p>
        </w:tc>
        <w:tc>
          <w:tcPr>
            <w:tcW w:type="dxa" w:w="6336"/>
            <w:tcBorders>
              <w:left w:val="single" w:sz="6" w:color="B8C6D6"/>
              <w:top w:val="single" w:sz="6" w:color="B8C6D6"/>
              <w:right w:val="single" w:sz="6" w:color="B8C6D6"/>
              <w:bottom w:val="single" w:sz="6" w:color="B8C6D6"/>
            </w:tcBorders>
          </w:tcPr>
          <w:p>
            <w:r>
              <w:t>Applies hard limits such as max position size, approved universe, and escalation thresholds before any packet or order is eligible.</w:t>
            </w:r>
          </w:p>
        </w:tc>
      </w:tr>
    </w:tbl>
    <w:p/>
    <w:p>
      <w:pPr>
        <w:pStyle w:val="Heading1Custom"/>
        <w:keepNext/>
      </w:pPr>
      <w:r>
        <w:t>7. Risk and Control Principles</w:t>
      </w:r>
    </w:p>
    <w:p>
      <w:pPr>
        <w:pStyle w:val="ListBullet"/>
        <w:spacing w:after="60"/>
        <w:ind w:left="259"/>
      </w:pPr>
      <w:r>
        <w:t>No autonomous live execution in Version 1. Real-money trades require explicit approval.</w:t>
      </w:r>
    </w:p>
    <w:p>
      <w:pPr>
        <w:pStyle w:val="ListBullet"/>
        <w:spacing w:after="60"/>
        <w:ind w:left="259"/>
      </w:pPr>
      <w:r>
        <w:t>Capital must remain isolated to a dedicated account with only pre-approved risk capital.</w:t>
      </w:r>
    </w:p>
    <w:p>
      <w:pPr>
        <w:pStyle w:val="ListBullet"/>
        <w:spacing w:after="60"/>
        <w:ind w:left="259"/>
      </w:pPr>
      <w:r>
        <w:t>The assistant must state entry logic, invalidation, position sizing logic, and key risks for every recommendation.</w:t>
      </w:r>
    </w:p>
    <w:p>
      <w:pPr>
        <w:pStyle w:val="ListBullet"/>
        <w:spacing w:after="60"/>
        <w:ind w:left="259"/>
      </w:pPr>
      <w:r>
        <w:t>Only high-conviction setups should generate alerts. Silence is preferable to low-quality noise.</w:t>
      </w:r>
    </w:p>
    <w:p>
      <w:pPr>
        <w:pStyle w:val="ListBullet"/>
        <w:spacing w:after="60"/>
        <w:ind w:left="259"/>
      </w:pPr>
      <w:r>
        <w:t>Expansion into faster trading modes, broader universes, or more automation occurs only after the current mode demonstrates measurable discipline and value.</w:t>
      </w:r>
    </w:p>
    <w:p>
      <w:pPr>
        <w:pStyle w:val="Heading1Custom"/>
        <w:keepNext/>
      </w:pPr>
      <w:r>
        <w:t>8. Definition of a Trade Packet</w:t>
      </w:r>
    </w:p>
    <w:p>
      <w:pPr/>
      <w:r>
        <w:t>Every recommendation that clears the alert threshold must be documented in a standard packet. At minimum, the packet will include: ticker, setup type, why now, what changed, entry zone, stop or invalidation, target range, suggested sizing logic, time horizon, confidence, key risks, and what would make the idea a pass.</w:t>
      </w:r>
    </w:p>
    <w:p>
      <w:pPr>
        <w:pStyle w:val="Heading1Custom"/>
        <w:keepNext/>
      </w:pPr>
      <w:r>
        <w:t>9. Success Metrics for the 30-Day Bootcamp</w:t>
      </w:r>
    </w:p>
    <w:p>
      <w:pPr/>
      <w:r>
        <w:t>The initial bootcamp is designed to prove process quality before capital deployment. Early success will be judged primarily on discipline and signal quality, not on raw profit alone.</w:t>
      </w:r>
    </w:p>
    <w:p>
      <w:pPr>
        <w:pStyle w:val="ListBullet"/>
        <w:spacing w:after="60"/>
        <w:ind w:left="259"/>
      </w:pPr>
      <w:r>
        <w:t>Coverage: every recommendation is logged with timestamp, packet content, and eventual outcome.</w:t>
      </w:r>
    </w:p>
    <w:p>
      <w:pPr>
        <w:pStyle w:val="ListBullet"/>
        <w:spacing w:after="60"/>
        <w:ind w:left="259"/>
      </w:pPr>
      <w:r>
        <w:t>Selectivity: alert volume remains manageable and high-conviction rather than noisy.</w:t>
      </w:r>
    </w:p>
    <w:p>
      <w:pPr>
        <w:pStyle w:val="ListBullet"/>
        <w:spacing w:after="60"/>
        <w:ind w:left="259"/>
      </w:pPr>
      <w:r>
        <w:t>Usefulness: packets are concise, actionable, and worth opening during the workday.</w:t>
      </w:r>
    </w:p>
    <w:p>
      <w:pPr>
        <w:pStyle w:val="ListBullet"/>
        <w:spacing w:after="60"/>
        <w:ind w:left="259"/>
      </w:pPr>
      <w:r>
        <w:t>Learning: post-trade review produces visible improvement in packet quality and ranking discipline.</w:t>
      </w:r>
    </w:p>
    <w:p>
      <w:pPr>
        <w:pStyle w:val="ListBullet"/>
        <w:spacing w:after="60"/>
        <w:ind w:left="259"/>
      </w:pPr>
      <w:r>
        <w:t>Performance: paper results show positive expectancy or at minimum evidence that the workflow merits continued refinement.</w:t>
      </w:r>
    </w:p>
    <w:p>
      <w:pPr>
        <w:pStyle w:val="ListBullet"/>
        <w:spacing w:after="60"/>
        <w:ind w:left="259"/>
      </w:pPr>
      <w:r>
        <w:t>Work compatibility: the system supports better market participation without harming 9-to-5 focus.</w:t>
      </w:r>
    </w:p>
    <w:p>
      <w:pPr>
        <w:pStyle w:val="Heading1Custom"/>
        <w:keepNext/>
      </w:pPr>
      <w:r>
        <w:t>10. Data Capture and Learning Record</w:t>
      </w:r>
    </w:p>
    <w:p>
      <w:pPr/>
      <w:r>
        <w:t>The recommendation journal is a core asset of the project. Each entry should preserve the market state at decision time, the assistant's thesis, the proposed trade structure, Ryan's decision, the paper outcome, any live outcome, and a short review of why the idea worked or failed. This journal will serve as the memory layer first and the training dataset later.</w:t>
      </w:r>
    </w:p>
    <w:p>
      <w:pPr>
        <w:pStyle w:val="Heading1Custom"/>
        <w:keepNext/>
      </w:pPr>
      <w:r>
        <w:t>11. Expansion Criteria</w:t>
      </w:r>
    </w:p>
    <w:p>
      <w:pPr/>
      <w:r>
        <w:t>The assistant may expand beyond the initial short swing mode only if the current mode is stable and the system has demonstrated a sustained ability to surface useful ideas, operate with restraint, and avoid disrupting work performance.</w:t>
      </w:r>
    </w:p>
    <w:p>
      <w:pPr>
        <w:pStyle w:val="ListBullet"/>
        <w:spacing w:after="60"/>
        <w:ind w:left="259"/>
      </w:pPr>
      <w:r>
        <w:t>Potential future modes include intraday equities, broader watchlists, richer alerting, and eventually approval-gated live order placement.</w:t>
      </w:r>
    </w:p>
    <w:p>
      <w:pPr>
        <w:pStyle w:val="ListBullet"/>
        <w:spacing w:after="60"/>
        <w:ind w:left="259"/>
      </w:pPr>
      <w:r>
        <w:t>Any expansion requires a documented review, updated controls, and a clear reason why the next layer of complexity is justified.</w:t>
      </w:r>
    </w:p>
    <w:p>
      <w:pPr>
        <w:pStyle w:val="Heading1Custom"/>
        <w:keepNext/>
      </w:pPr>
      <w:r>
        <w:t>12. Future-State Vision</w:t>
      </w:r>
    </w:p>
    <w:p>
      <w:pPr/>
      <w:r>
        <w:t>The long-term vision is an always-on AI research desk that behaves like a disciplined in-house analyst: continuously prepared, highly selective, eager to impress, and wise enough to know when no action is the best action. Over time, the system may become stronger through better data, stronger hardware, improved validation, and tighter feedback loops, but only after the core workflow proves its worth.</w:t>
      </w:r>
    </w:p>
    <w:p>
      <w:pPr>
        <w:pStyle w:val="Heading1Custom"/>
        <w:keepNext/>
      </w:pPr>
      <w:r>
        <w:t>13. Charter Statement</w:t>
      </w:r>
    </w:p>
    <w:p>
      <w:r>
        <w:rPr>
          <w:b/>
          <w:color w:val="153157"/>
        </w:rPr>
        <w:t>This charter authorizes the project to proceed as a focused Version 1 build of an AI research desk for U.S. equities, beginning with a short swing operating mode, approval-gated decision rights, shadow paper trading, and journal-driven learning. It will be judged first by discipline, usefulness, and process quality, with automation and broader scope reserved for later phases.</w:t>
      </w:r>
    </w:p>
    <w:sectPr w:rsidR="00FC693F" w:rsidRPr="0006063C" w:rsidSect="00034616">
      <w:footerReference w:type="default" r:id="rId9"/>
      <w:pgSz w:w="12240" w:h="15840"/>
      <w:pgMar w:top="979" w:right="1152" w:bottom="893"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95057"/>
        <w:sz w:val="16"/>
      </w:rPr>
      <w:t xml:space="preserve">AI Research Desk Project Charter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pPr>
      <w:spacing w:after="160"/>
    </w:pPr>
    <w:rPr>
      <w:rFonts w:ascii="Aptos" w:hAnsi="Aptos"/>
      <w:b w:val="0"/>
      <w:color w:val="26547C"/>
      <w:sz w:val="22"/>
    </w:rPr>
  </w:style>
  <w:style w:type="paragraph" w:customStyle="1" w:styleId="Heading1Custom">
    <w:name w:val="Heading1Custom"/>
    <w:pPr>
      <w:spacing w:before="140" w:after="60"/>
    </w:pPr>
    <w:rPr>
      <w:rFonts w:ascii="Aptos" w:hAnsi="Aptos"/>
      <w:b/>
      <w:color w:val="153157"/>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