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1378" w14:textId="77777777" w:rsidR="00FD0EBB" w:rsidRPr="00DC1B3C" w:rsidRDefault="00000000" w:rsidP="00DC1B3C">
      <w:pPr>
        <w:pStyle w:val="Heading2"/>
        <w:jc w:val="both"/>
        <w:rPr>
          <w:rFonts w:ascii="Times New Roman" w:hAnsi="Times New Roman" w:cs="Times New Roman"/>
          <w:sz w:val="22"/>
          <w:szCs w:val="22"/>
        </w:rPr>
      </w:pPr>
      <w:bookmarkStart w:id="0" w:name="methods"/>
      <w:r w:rsidRPr="00DC1B3C">
        <w:rPr>
          <w:rFonts w:ascii="Times New Roman" w:hAnsi="Times New Roman" w:cs="Times New Roman"/>
          <w:sz w:val="22"/>
          <w:szCs w:val="22"/>
        </w:rPr>
        <w:t>Methods</w:t>
      </w:r>
    </w:p>
    <w:p w14:paraId="6DC4BCCE" w14:textId="013B8028" w:rsidR="00FD0EBB" w:rsidRPr="00DC1B3C" w:rsidRDefault="00000000" w:rsidP="00DC1B3C">
      <w:pPr>
        <w:pStyle w:val="FirstParagraph"/>
        <w:jc w:val="both"/>
        <w:rPr>
          <w:rFonts w:ascii="Times New Roman" w:hAnsi="Times New Roman" w:cs="Times New Roman"/>
          <w:sz w:val="22"/>
          <w:szCs w:val="22"/>
        </w:rPr>
      </w:pPr>
      <w:r w:rsidRPr="00DC1B3C">
        <w:rPr>
          <w:rFonts w:ascii="Times New Roman" w:hAnsi="Times New Roman" w:cs="Times New Roman"/>
          <w:b/>
          <w:bCs/>
          <w:sz w:val="22"/>
          <w:szCs w:val="22"/>
        </w:rPr>
        <w:t>Data.</w:t>
      </w:r>
      <w:r w:rsidRPr="00DC1B3C">
        <w:rPr>
          <w:rFonts w:ascii="Times New Roman" w:hAnsi="Times New Roman" w:cs="Times New Roman"/>
          <w:sz w:val="22"/>
          <w:szCs w:val="22"/>
        </w:rPr>
        <w:t xml:space="preserve"> First, we used biophysical NbS mitigation potential estimates from Naturebase v3 (The Nature Conservancy, 2025), which provides sequestration and avoided-emission potential </w:t>
      </w:r>
      <w:r w:rsidR="00DC1B3C" w:rsidRPr="00DC1B3C">
        <w:rPr>
          <w:rFonts w:ascii="Times New Roman" w:hAnsi="Times New Roman" w:cs="Times New Roman"/>
          <w:sz w:val="22"/>
          <w:szCs w:val="22"/>
        </w:rPr>
        <w:t>(</w:t>
      </w:r>
      <w:r w:rsidRPr="00DC1B3C">
        <w:rPr>
          <w:rFonts w:ascii="Times New Roman" w:hAnsi="Times New Roman" w:cs="Times New Roman"/>
          <w:sz w:val="22"/>
          <w:szCs w:val="22"/>
        </w:rPr>
        <w:t>tCO</w:t>
      </w:r>
      <w:r w:rsidRPr="00DC1B3C">
        <w:rPr>
          <w:rFonts w:ascii="Times New Roman" w:hAnsi="Times New Roman" w:cs="Times New Roman"/>
          <w:sz w:val="22"/>
          <w:szCs w:val="22"/>
          <w:vertAlign w:val="subscript"/>
        </w:rPr>
        <w:t>2</w:t>
      </w:r>
      <w:r w:rsidRPr="00DC1B3C">
        <w:rPr>
          <w:rFonts w:ascii="Times New Roman" w:hAnsi="Times New Roman" w:cs="Times New Roman"/>
          <w:sz w:val="22"/>
          <w:szCs w:val="22"/>
        </w:rPr>
        <w:t>e yr</w:t>
      </w:r>
      <w:r w:rsidRPr="00DC1B3C">
        <w:rPr>
          <w:rFonts w:ascii="Times New Roman" w:hAnsi="Times New Roman" w:cs="Times New Roman"/>
          <w:sz w:val="22"/>
          <w:szCs w:val="22"/>
          <w:vertAlign w:val="superscript"/>
        </w:rPr>
        <w:t>-1</w:t>
      </w:r>
      <w:r w:rsidRPr="00DC1B3C">
        <w:rPr>
          <w:rFonts w:ascii="Times New Roman" w:hAnsi="Times New Roman" w:cs="Times New Roman"/>
          <w:sz w:val="22"/>
          <w:szCs w:val="22"/>
        </w:rPr>
        <w:t xml:space="preserve"> </w:t>
      </w:r>
      <w:r w:rsidR="00DC1B3C" w:rsidRPr="00DC1B3C">
        <w:rPr>
          <w:rFonts w:ascii="Times New Roman" w:hAnsi="Times New Roman" w:cs="Times New Roman"/>
          <w:sz w:val="22"/>
          <w:szCs w:val="22"/>
        </w:rPr>
        <w:t xml:space="preserve">) </w:t>
      </w:r>
      <w:r w:rsidRPr="00DC1B3C">
        <w:rPr>
          <w:rFonts w:ascii="Times New Roman" w:hAnsi="Times New Roman" w:cs="Times New Roman"/>
          <w:sz w:val="22"/>
          <w:szCs w:val="22"/>
        </w:rPr>
        <w:t xml:space="preserve">across 20 </w:t>
      </w:r>
      <w:r w:rsidR="00DC1B3C" w:rsidRPr="00DC1B3C">
        <w:rPr>
          <w:rFonts w:ascii="Times New Roman" w:hAnsi="Times New Roman" w:cs="Times New Roman"/>
          <w:sz w:val="22"/>
          <w:szCs w:val="22"/>
        </w:rPr>
        <w:t xml:space="preserve">NbS </w:t>
      </w:r>
      <w:r w:rsidRPr="00DC1B3C">
        <w:rPr>
          <w:rFonts w:ascii="Times New Roman" w:hAnsi="Times New Roman" w:cs="Times New Roman"/>
          <w:sz w:val="22"/>
          <w:szCs w:val="22"/>
        </w:rPr>
        <w:t xml:space="preserve">pathways spanning cropland, forest, grassland and wetland ecosystems for 216 countries. We </w:t>
      </w:r>
      <w:r w:rsidR="00DC1B3C" w:rsidRPr="00DC1B3C">
        <w:rPr>
          <w:rFonts w:ascii="Times New Roman" w:hAnsi="Times New Roman" w:cs="Times New Roman"/>
          <w:sz w:val="22"/>
          <w:szCs w:val="22"/>
        </w:rPr>
        <w:t>assess</w:t>
      </w:r>
      <w:r w:rsidRPr="00DC1B3C">
        <w:rPr>
          <w:rFonts w:ascii="Times New Roman" w:hAnsi="Times New Roman" w:cs="Times New Roman"/>
          <w:sz w:val="22"/>
          <w:szCs w:val="22"/>
        </w:rPr>
        <w:t xml:space="preserve"> the total NCS potential per country</w:t>
      </w:r>
      <w:r w:rsidR="00DC1B3C" w:rsidRPr="00DC1B3C">
        <w:rPr>
          <w:rFonts w:ascii="Times New Roman" w:hAnsi="Times New Roman" w:cs="Times New Roman"/>
          <w:sz w:val="22"/>
          <w:szCs w:val="22"/>
        </w:rPr>
        <w:t xml:space="preserve"> (</w:t>
      </w:r>
      <w:r w:rsidRPr="00DC1B3C">
        <w:rPr>
          <w:rFonts w:ascii="Times New Roman" w:hAnsi="Times New Roman" w:cs="Times New Roman"/>
          <w:sz w:val="22"/>
          <w:szCs w:val="22"/>
        </w:rPr>
        <w:t>the sum across all 20 pathways</w:t>
      </w:r>
      <w:r w:rsidR="00DC1B3C" w:rsidRPr="00DC1B3C">
        <w:rPr>
          <w:rFonts w:ascii="Times New Roman" w:hAnsi="Times New Roman" w:cs="Times New Roman"/>
          <w:sz w:val="22"/>
          <w:szCs w:val="22"/>
        </w:rPr>
        <w:t>)</w:t>
      </w:r>
      <w:r w:rsidRPr="00DC1B3C">
        <w:rPr>
          <w:rFonts w:ascii="Times New Roman" w:hAnsi="Times New Roman" w:cs="Times New Roman"/>
          <w:sz w:val="22"/>
          <w:szCs w:val="22"/>
        </w:rPr>
        <w:t xml:space="preserve"> as well as biome-level totals (cropland, forest, grassland, wetland) and activity-type totals (protection, management, restoration).</w:t>
      </w:r>
    </w:p>
    <w:p w14:paraId="2F8C1F5A" w14:textId="6A9DB9A5"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 xml:space="preserve">Second, we </w:t>
      </w:r>
      <w:r w:rsidR="00DC1B3C" w:rsidRPr="00DC1B3C">
        <w:rPr>
          <w:rFonts w:ascii="Times New Roman" w:hAnsi="Times New Roman" w:cs="Times New Roman"/>
          <w:sz w:val="22"/>
          <w:szCs w:val="22"/>
        </w:rPr>
        <w:t>represent</w:t>
      </w:r>
      <w:r w:rsidRPr="00DC1B3C">
        <w:rPr>
          <w:rFonts w:ascii="Times New Roman" w:hAnsi="Times New Roman" w:cs="Times New Roman"/>
          <w:sz w:val="22"/>
          <w:szCs w:val="22"/>
        </w:rPr>
        <w:t xml:space="preserve"> political risk using the World Governance Indicators (WGI) 2024 release (World Bank). We used the Political Stability and Absence of Violence/Terrorism dimension (PV.EST; scale −2.5 to +2.5) as </w:t>
      </w:r>
      <w:r w:rsidR="00DC1B3C" w:rsidRPr="00DC1B3C">
        <w:rPr>
          <w:rFonts w:ascii="Times New Roman" w:hAnsi="Times New Roman" w:cs="Times New Roman"/>
          <w:sz w:val="22"/>
          <w:szCs w:val="22"/>
        </w:rPr>
        <w:t>a</w:t>
      </w:r>
      <w:r w:rsidRPr="00DC1B3C">
        <w:rPr>
          <w:rFonts w:ascii="Times New Roman" w:hAnsi="Times New Roman" w:cs="Times New Roman"/>
          <w:sz w:val="22"/>
          <w:szCs w:val="22"/>
        </w:rPr>
        <w:t xml:space="preserve"> primary measure of political risk, with lower scores indicating higher instability and conflict exposure. We also ran sensitivity analyses using all six WGI dimensions (Voice &amp; Accountability, Government Effectiveness, Regulatory Quality, Rule of Law, and Control of Corruption).</w:t>
      </w:r>
    </w:p>
    <w:p w14:paraId="2D9B848E" w14:textId="07A5DDD2" w:rsidR="00FD0EBB" w:rsidRPr="00DC1B3C" w:rsidRDefault="00DC1B3C"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Finally</w:t>
      </w:r>
      <w:r w:rsidR="00000000" w:rsidRPr="00DC1B3C">
        <w:rPr>
          <w:rFonts w:ascii="Times New Roman" w:hAnsi="Times New Roman" w:cs="Times New Roman"/>
          <w:sz w:val="22"/>
          <w:szCs w:val="22"/>
        </w:rPr>
        <w:t xml:space="preserve">, we constructed two complementary measures of NbS project implementation. </w:t>
      </w:r>
      <w:r w:rsidR="00000000" w:rsidRPr="00DC1B3C">
        <w:rPr>
          <w:rFonts w:ascii="Times New Roman" w:hAnsi="Times New Roman" w:cs="Times New Roman"/>
          <w:i/>
          <w:iCs/>
          <w:sz w:val="22"/>
          <w:szCs w:val="22"/>
        </w:rPr>
        <w:t>Market-based implementation</w:t>
      </w:r>
      <w:r w:rsidR="00000000" w:rsidRPr="00DC1B3C">
        <w:rPr>
          <w:rFonts w:ascii="Times New Roman" w:hAnsi="Times New Roman" w:cs="Times New Roman"/>
          <w:sz w:val="22"/>
          <w:szCs w:val="22"/>
        </w:rPr>
        <w:t xml:space="preserve"> was measured using the global database of nature-based carbon offset project boundaries (Karnik et al., 2024; </w:t>
      </w:r>
      <w:hyperlink r:id="rId5">
        <w:r w:rsidR="00000000" w:rsidRPr="00DC1B3C">
          <w:rPr>
            <w:rStyle w:val="Hyperlink"/>
            <w:rFonts w:ascii="Times New Roman" w:hAnsi="Times New Roman" w:cs="Times New Roman"/>
            <w:sz w:val="22"/>
            <w:szCs w:val="22"/>
          </w:rPr>
          <w:t>doi:10.5281/zenodo.11459391</w:t>
        </w:r>
      </w:hyperlink>
      <w:r w:rsidR="00000000" w:rsidRPr="00DC1B3C">
        <w:rPr>
          <w:rFonts w:ascii="Times New Roman" w:hAnsi="Times New Roman" w:cs="Times New Roman"/>
          <w:sz w:val="22"/>
          <w:szCs w:val="22"/>
        </w:rPr>
        <w:t xml:space="preserve">), which catalogues 575 georeferenced projects across 55 countries from six carbon registries (Verra,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294; Climate Action Reserve,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134; American Carbon Registry,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96; EcoRegistry,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33; Gold Standard,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17; BioCarbon Registry,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1), spanning three project types: Improved Forest Management (IFM,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252), Afforestation/Reforestation/ Revegetation (ARR,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190), and Avoided Deforestation (AD, </w:t>
      </w:r>
      <w:r w:rsidR="00000000" w:rsidRPr="00DC1B3C">
        <w:rPr>
          <w:rFonts w:ascii="Times New Roman" w:hAnsi="Times New Roman" w:cs="Times New Roman"/>
          <w:i/>
          <w:iCs/>
          <w:sz w:val="22"/>
          <w:szCs w:val="22"/>
        </w:rPr>
        <w:t>n</w:t>
      </w:r>
      <w:r w:rsidR="00000000" w:rsidRPr="00DC1B3C">
        <w:rPr>
          <w:rFonts w:ascii="Times New Roman" w:hAnsi="Times New Roman" w:cs="Times New Roman"/>
          <w:sz w:val="22"/>
          <w:szCs w:val="22"/>
        </w:rPr>
        <w:t xml:space="preserve"> = 133). </w:t>
      </w:r>
      <w:r w:rsidR="00000000" w:rsidRPr="00DC1B3C">
        <w:rPr>
          <w:rFonts w:ascii="Times New Roman" w:hAnsi="Times New Roman" w:cs="Times New Roman"/>
          <w:i/>
          <w:iCs/>
          <w:sz w:val="22"/>
          <w:szCs w:val="22"/>
        </w:rPr>
        <w:t>Community-based implementation</w:t>
      </w:r>
      <w:r w:rsidR="00000000" w:rsidRPr="00DC1B3C">
        <w:rPr>
          <w:rFonts w:ascii="Times New Roman" w:hAnsi="Times New Roman" w:cs="Times New Roman"/>
          <w:sz w:val="22"/>
          <w:szCs w:val="22"/>
        </w:rPr>
        <w:t xml:space="preserve"> was measured using the UNDP Equator Initiative Solutions Database, scraped via the WordPress REST API (July 2025), yielding 2,351 community NbS initiatives across 140 countries with geolocation data.</w:t>
      </w:r>
    </w:p>
    <w:p w14:paraId="423912A7" w14:textId="296C67C9"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b/>
          <w:bCs/>
          <w:sz w:val="22"/>
          <w:szCs w:val="22"/>
        </w:rPr>
        <w:t>Analy</w:t>
      </w:r>
      <w:r w:rsidR="00DC1B3C" w:rsidRPr="00DC1B3C">
        <w:rPr>
          <w:rFonts w:ascii="Times New Roman" w:hAnsi="Times New Roman" w:cs="Times New Roman"/>
          <w:b/>
          <w:bCs/>
          <w:sz w:val="22"/>
          <w:szCs w:val="22"/>
        </w:rPr>
        <w:t>sis</w:t>
      </w:r>
      <w:r w:rsidRPr="00DC1B3C">
        <w:rPr>
          <w:rFonts w:ascii="Times New Roman" w:hAnsi="Times New Roman" w:cs="Times New Roman"/>
          <w:b/>
          <w:bCs/>
          <w:sz w:val="22"/>
          <w:szCs w:val="22"/>
        </w:rPr>
        <w:t>.</w:t>
      </w:r>
      <w:r w:rsidRPr="00DC1B3C">
        <w:rPr>
          <w:rFonts w:ascii="Times New Roman" w:hAnsi="Times New Roman" w:cs="Times New Roman"/>
          <w:sz w:val="22"/>
          <w:szCs w:val="22"/>
        </w:rPr>
        <w:t xml:space="preserve"> We matched NbS potential data with WGI scores for 189 countries. To measure the degree to which countries translate biophysical carbon opportunity </w:t>
      </w:r>
      <w:r w:rsidR="00DC1B3C" w:rsidRPr="00DC1B3C">
        <w:rPr>
          <w:rFonts w:ascii="Times New Roman" w:hAnsi="Times New Roman" w:cs="Times New Roman"/>
          <w:sz w:val="22"/>
          <w:szCs w:val="22"/>
        </w:rPr>
        <w:t>aligns with investment in</w:t>
      </w:r>
      <w:r w:rsidRPr="00DC1B3C">
        <w:rPr>
          <w:rFonts w:ascii="Times New Roman" w:hAnsi="Times New Roman" w:cs="Times New Roman"/>
          <w:sz w:val="22"/>
          <w:szCs w:val="22"/>
        </w:rPr>
        <w:t xml:space="preserve"> projects we computed total projects (market + community) per MtCO</w:t>
      </w:r>
      <w:r w:rsidRPr="00DC1B3C">
        <w:rPr>
          <w:rFonts w:ascii="Times New Roman" w:hAnsi="Times New Roman" w:cs="Times New Roman"/>
          <w:sz w:val="22"/>
          <w:szCs w:val="22"/>
          <w:vertAlign w:val="subscript"/>
        </w:rPr>
        <w:t>2</w:t>
      </w:r>
      <w:r w:rsidRPr="00DC1B3C">
        <w:rPr>
          <w:rFonts w:ascii="Times New Roman" w:hAnsi="Times New Roman" w:cs="Times New Roman"/>
          <w:sz w:val="22"/>
          <w:szCs w:val="22"/>
        </w:rPr>
        <w:t>e yr</w:t>
      </w:r>
      <w:r w:rsidRPr="00DC1B3C">
        <w:rPr>
          <w:rFonts w:ascii="Times New Roman" w:hAnsi="Times New Roman" w:cs="Times New Roman"/>
          <w:sz w:val="22"/>
          <w:szCs w:val="22"/>
          <w:vertAlign w:val="superscript"/>
        </w:rPr>
        <w:t>-1</w:t>
      </w:r>
      <w:r w:rsidRPr="00DC1B3C">
        <w:rPr>
          <w:rFonts w:ascii="Times New Roman" w:hAnsi="Times New Roman" w:cs="Times New Roman"/>
          <w:sz w:val="22"/>
          <w:szCs w:val="22"/>
        </w:rPr>
        <w:t xml:space="preserve"> of NbS potential for each country. Both NbS potential and the efficiency ratio were log</w:t>
      </w:r>
      <w:r w:rsidRPr="00DC1B3C">
        <w:rPr>
          <w:rFonts w:ascii="Times New Roman" w:hAnsi="Times New Roman" w:cs="Times New Roman"/>
          <w:sz w:val="22"/>
          <w:szCs w:val="22"/>
          <w:vertAlign w:val="subscript"/>
        </w:rPr>
        <w:t>10</w:t>
      </w:r>
      <w:r w:rsidRPr="00DC1B3C">
        <w:rPr>
          <w:rFonts w:ascii="Times New Roman" w:hAnsi="Times New Roman" w:cs="Times New Roman"/>
          <w:sz w:val="22"/>
          <w:szCs w:val="22"/>
        </w:rPr>
        <w:t>-transformed prior to analysis to account for right-skewed distributions. We estimated bivariate relationships using Spearman rank correlations (robust to non-normality) and ordinary least-squares regressions controlling for income group (World Bank classification). All analyses were conducted in R 4.6.0.</w:t>
      </w:r>
    </w:p>
    <w:p w14:paraId="228D6D0F" w14:textId="3E0D2B46"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To examine how political risk constrains the accessible NbS portfolio under different risk tolerances, we constructed cumulative potential curves for each NbS type. Countries were sorted from most to least politically stable (descending PV.EST) and cumulative NbS potential was computed as each successive country was added. The resulting curves</w:t>
      </w:r>
      <w:r w:rsidR="00DC1B3C" w:rsidRPr="00DC1B3C">
        <w:rPr>
          <w:rFonts w:ascii="Times New Roman" w:hAnsi="Times New Roman" w:cs="Times New Roman"/>
          <w:sz w:val="22"/>
          <w:szCs w:val="22"/>
        </w:rPr>
        <w:t xml:space="preserve"> </w:t>
      </w:r>
      <w:r w:rsidRPr="00DC1B3C">
        <w:rPr>
          <w:rFonts w:ascii="Times New Roman" w:hAnsi="Times New Roman" w:cs="Times New Roman"/>
          <w:sz w:val="22"/>
          <w:szCs w:val="22"/>
        </w:rPr>
        <w:t>show the share of potential accessible if an investor or policymaker limits engagement to countries above a given stability threshold. We report this separately for four biome types (cropland, forest, grassland, wetland) and three activity types (protection, management, restoration), with risk zones defined at PV.EST thresholds of −1 (fragile), 0 (average), and +1 (stable).</w:t>
      </w:r>
    </w:p>
    <w:p w14:paraId="269D8A81" w14:textId="77777777" w:rsidR="00FD0EBB" w:rsidRPr="00DC1B3C" w:rsidRDefault="009201B5" w:rsidP="00DC1B3C">
      <w:pPr>
        <w:jc w:val="both"/>
        <w:rPr>
          <w:rFonts w:ascii="Times New Roman" w:hAnsi="Times New Roman" w:cs="Times New Roman"/>
          <w:sz w:val="22"/>
          <w:szCs w:val="22"/>
        </w:rPr>
      </w:pPr>
      <w:r w:rsidRPr="009201B5">
        <w:rPr>
          <w:rFonts w:ascii="Times New Roman" w:hAnsi="Times New Roman" w:cs="Times New Roman"/>
          <w:noProof/>
          <w:sz w:val="22"/>
          <w:szCs w:val="22"/>
        </w:rPr>
        <w:pict w14:anchorId="775540A4">
          <v:rect id="_x0000_i1027" alt="" style="width:468pt;height:.05pt;mso-width-percent:0;mso-height-percent:0;mso-width-percent:0;mso-height-percent:0" o:hralign="center" o:hrstd="t" o:hr="t"/>
        </w:pict>
      </w:r>
    </w:p>
    <w:p w14:paraId="04D7373B" w14:textId="77777777" w:rsidR="00FD0EBB" w:rsidRPr="00DC1B3C" w:rsidRDefault="00000000" w:rsidP="00DC1B3C">
      <w:pPr>
        <w:pStyle w:val="Heading2"/>
        <w:jc w:val="both"/>
        <w:rPr>
          <w:rFonts w:ascii="Times New Roman" w:hAnsi="Times New Roman" w:cs="Times New Roman"/>
          <w:sz w:val="22"/>
          <w:szCs w:val="22"/>
        </w:rPr>
      </w:pPr>
      <w:bookmarkStart w:id="1" w:name="results"/>
      <w:bookmarkEnd w:id="0"/>
      <w:r w:rsidRPr="00DC1B3C">
        <w:rPr>
          <w:rFonts w:ascii="Times New Roman" w:hAnsi="Times New Roman" w:cs="Times New Roman"/>
          <w:sz w:val="22"/>
          <w:szCs w:val="22"/>
        </w:rPr>
        <w:t>Results</w:t>
      </w:r>
    </w:p>
    <w:p w14:paraId="4F6E8708" w14:textId="77777777" w:rsidR="00FD0EBB" w:rsidRPr="00DC1B3C" w:rsidRDefault="00000000" w:rsidP="00DC1B3C">
      <w:pPr>
        <w:pStyle w:val="FirstParagraph"/>
        <w:jc w:val="both"/>
        <w:rPr>
          <w:rFonts w:ascii="Times New Roman" w:hAnsi="Times New Roman" w:cs="Times New Roman"/>
          <w:sz w:val="22"/>
          <w:szCs w:val="22"/>
        </w:rPr>
      </w:pPr>
      <w:r w:rsidRPr="00DC1B3C">
        <w:rPr>
          <w:rFonts w:ascii="Times New Roman" w:hAnsi="Times New Roman" w:cs="Times New Roman"/>
          <w:b/>
          <w:bCs/>
          <w:sz w:val="22"/>
          <w:szCs w:val="22"/>
        </w:rPr>
        <w:t>The carbon opportunity is disproportionately located in high-risk countries.</w:t>
      </w:r>
      <w:r w:rsidRPr="00DC1B3C">
        <w:rPr>
          <w:rFonts w:ascii="Times New Roman" w:hAnsi="Times New Roman" w:cs="Times New Roman"/>
          <w:sz w:val="22"/>
          <w:szCs w:val="22"/>
        </w:rPr>
        <w:t xml:space="preserve"> Figure 1A shows a significant negative relationship between NbS biophysical potential and political stability (Spearman </w:t>
      </w:r>
      <w:r w:rsidRPr="00DC1B3C">
        <w:rPr>
          <w:rFonts w:ascii="Times New Roman" w:hAnsi="Times New Roman" w:cs="Times New Roman"/>
          <w:i/>
          <w:iCs/>
          <w:sz w:val="22"/>
          <w:szCs w:val="22"/>
        </w:rPr>
        <w:t>ρ</w:t>
      </w:r>
      <w:r w:rsidRPr="00DC1B3C">
        <w:rPr>
          <w:rFonts w:ascii="Times New Roman" w:hAnsi="Times New Roman" w:cs="Times New Roman"/>
          <w:sz w:val="22"/>
          <w:szCs w:val="22"/>
        </w:rPr>
        <w:t xml:space="preserve"> = −0.47, </w:t>
      </w:r>
      <w:r w:rsidRPr="00DC1B3C">
        <w:rPr>
          <w:rFonts w:ascii="Times New Roman" w:hAnsi="Times New Roman" w:cs="Times New Roman"/>
          <w:i/>
          <w:iCs/>
          <w:sz w:val="22"/>
          <w:szCs w:val="22"/>
        </w:rPr>
        <w:t>p</w:t>
      </w:r>
      <w:r w:rsidRPr="00DC1B3C">
        <w:rPr>
          <w:rFonts w:ascii="Times New Roman" w:hAnsi="Times New Roman" w:cs="Times New Roman"/>
          <w:sz w:val="22"/>
          <w:szCs w:val="22"/>
        </w:rPr>
        <w:t xml:space="preserve"> &lt; 0.001): countries with the largest total carbon sequestration and avoided-emission potential — principally in the Congo Basin, Amazon, and Southeast Asia — tend to have substantially lower political stability scores. This is not coincidental; tropical forest ecosystems, which harbour the majority of global NbS potential, are concentrated in regions that are also among the most politically fragile.</w:t>
      </w:r>
    </w:p>
    <w:p w14:paraId="5E3F2B60" w14:textId="44FF29F4"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b/>
          <w:bCs/>
          <w:sz w:val="22"/>
          <w:szCs w:val="22"/>
        </w:rPr>
        <w:lastRenderedPageBreak/>
        <w:t xml:space="preserve">Despite this, stable countries </w:t>
      </w:r>
      <w:r w:rsidR="00DC1B3C" w:rsidRPr="00DC1B3C">
        <w:rPr>
          <w:rFonts w:ascii="Times New Roman" w:hAnsi="Times New Roman" w:cs="Times New Roman"/>
          <w:b/>
          <w:bCs/>
          <w:sz w:val="22"/>
          <w:szCs w:val="22"/>
        </w:rPr>
        <w:t>see more investment:</w:t>
      </w:r>
      <w:r w:rsidRPr="00DC1B3C">
        <w:rPr>
          <w:rFonts w:ascii="Times New Roman" w:hAnsi="Times New Roman" w:cs="Times New Roman"/>
          <w:sz w:val="22"/>
          <w:szCs w:val="22"/>
        </w:rPr>
        <w:t xml:space="preserve"> Figure 1B reveals the </w:t>
      </w:r>
      <w:r w:rsidR="00DC1B3C" w:rsidRPr="00DC1B3C">
        <w:rPr>
          <w:rFonts w:ascii="Times New Roman" w:hAnsi="Times New Roman" w:cs="Times New Roman"/>
          <w:sz w:val="22"/>
          <w:szCs w:val="22"/>
        </w:rPr>
        <w:t>investment</w:t>
      </w:r>
      <w:r w:rsidRPr="00DC1B3C">
        <w:rPr>
          <w:rFonts w:ascii="Times New Roman" w:hAnsi="Times New Roman" w:cs="Times New Roman"/>
          <w:sz w:val="22"/>
          <w:szCs w:val="22"/>
        </w:rPr>
        <w:t xml:space="preserve"> gap: when project counts are normalised by biophysical potential (projects per MtCO</w:t>
      </w:r>
      <w:r w:rsidRPr="00DC1B3C">
        <w:rPr>
          <w:rFonts w:ascii="Times New Roman" w:hAnsi="Times New Roman" w:cs="Times New Roman"/>
          <w:sz w:val="22"/>
          <w:szCs w:val="22"/>
          <w:vertAlign w:val="subscript"/>
        </w:rPr>
        <w:t>2</w:t>
      </w:r>
      <w:r w:rsidRPr="00DC1B3C">
        <w:rPr>
          <w:rFonts w:ascii="Times New Roman" w:hAnsi="Times New Roman" w:cs="Times New Roman"/>
          <w:sz w:val="22"/>
          <w:szCs w:val="22"/>
        </w:rPr>
        <w:t>e yr</w:t>
      </w:r>
      <w:r w:rsidRPr="00DC1B3C">
        <w:rPr>
          <w:rFonts w:ascii="Times New Roman" w:hAnsi="Times New Roman" w:cs="Times New Roman"/>
          <w:sz w:val="22"/>
          <w:szCs w:val="22"/>
          <w:vertAlign w:val="superscript"/>
        </w:rPr>
        <w:t>-1</w:t>
      </w:r>
      <w:r w:rsidRPr="00DC1B3C">
        <w:rPr>
          <w:rFonts w:ascii="Times New Roman" w:hAnsi="Times New Roman" w:cs="Times New Roman"/>
          <w:sz w:val="22"/>
          <w:szCs w:val="22"/>
        </w:rPr>
        <w:t xml:space="preserve">), the relationship with political stability reverses to positive. High-stability countries implement substantially more projects per unit of available carbon opportunity than their higher-risk counterparts. </w:t>
      </w:r>
    </w:p>
    <w:p w14:paraId="386FEA2D" w14:textId="0BF9581A"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b/>
          <w:bCs/>
          <w:sz w:val="22"/>
          <w:szCs w:val="22"/>
        </w:rPr>
        <w:t>The risk barrier is sharpest for protection and forest-type NbS.</w:t>
      </w:r>
      <w:r w:rsidRPr="00DC1B3C">
        <w:rPr>
          <w:rFonts w:ascii="Times New Roman" w:hAnsi="Times New Roman" w:cs="Times New Roman"/>
          <w:sz w:val="22"/>
          <w:szCs w:val="22"/>
        </w:rPr>
        <w:t xml:space="preserve"> Protection-type activities show the steepest cumulative curve, meaning that their potential is most concentrated in fragile and high-risk countries: less than 25% of global protection potential lies in countries with above-average stability (PV &gt; 0). Forest NbS follows a similar pattern, with the bulk of potential entering the cumulative total only as the fragile zone is included. By contrast, cropland and management-type activities show gentler curves, accumulating more potential in moderate- and low-risk countries, suggesting relatively greater opportunities for implementation without entering fragile contexts.</w:t>
      </w:r>
    </w:p>
    <w:p w14:paraId="38779431" w14:textId="6D7555A6"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 xml:space="preserve">For investors and </w:t>
      </w:r>
      <w:r w:rsidR="00DC1B3C" w:rsidRPr="00DC1B3C">
        <w:rPr>
          <w:rFonts w:ascii="Times New Roman" w:hAnsi="Times New Roman" w:cs="Times New Roman"/>
          <w:sz w:val="22"/>
          <w:szCs w:val="22"/>
        </w:rPr>
        <w:t>policymakers</w:t>
      </w:r>
      <w:r w:rsidRPr="00DC1B3C">
        <w:rPr>
          <w:rFonts w:ascii="Times New Roman" w:hAnsi="Times New Roman" w:cs="Times New Roman"/>
          <w:sz w:val="22"/>
          <w:szCs w:val="22"/>
        </w:rPr>
        <w:t xml:space="preserve"> operating with strict risk </w:t>
      </w:r>
      <w:r w:rsidR="00DC1B3C" w:rsidRPr="00DC1B3C">
        <w:rPr>
          <w:rFonts w:ascii="Times New Roman" w:hAnsi="Times New Roman" w:cs="Times New Roman"/>
          <w:sz w:val="22"/>
          <w:szCs w:val="22"/>
        </w:rPr>
        <w:t>constraints the</w:t>
      </w:r>
      <w:r w:rsidRPr="00DC1B3C">
        <w:rPr>
          <w:rFonts w:ascii="Times New Roman" w:hAnsi="Times New Roman" w:cs="Times New Roman"/>
          <w:sz w:val="22"/>
          <w:szCs w:val="22"/>
        </w:rPr>
        <w:t xml:space="preserve"> accessible global NbS portfolio is substantially truncated, and predominantly cropland and management activities. Accessing the full scale of forest protection and wetland conservation potential requires either accepting higher political risk or deploying risk mitigation instruments (political risk insurance, sovereign guarantees, blended finance) specifically targeted at fragile and conflict-affected states.</w:t>
      </w:r>
    </w:p>
    <w:p w14:paraId="5E7CFF74" w14:textId="77777777" w:rsidR="00FD0EBB" w:rsidRPr="00DC1B3C" w:rsidRDefault="009201B5" w:rsidP="00DC1B3C">
      <w:pPr>
        <w:jc w:val="both"/>
        <w:rPr>
          <w:rFonts w:ascii="Times New Roman" w:hAnsi="Times New Roman" w:cs="Times New Roman"/>
          <w:sz w:val="22"/>
          <w:szCs w:val="22"/>
        </w:rPr>
      </w:pPr>
      <w:r w:rsidRPr="009201B5">
        <w:rPr>
          <w:rFonts w:ascii="Times New Roman" w:hAnsi="Times New Roman" w:cs="Times New Roman"/>
          <w:noProof/>
          <w:sz w:val="22"/>
          <w:szCs w:val="22"/>
        </w:rPr>
        <w:pict w14:anchorId="3C74B42D">
          <v:rect id="_x0000_i1026" alt="" style="width:468pt;height:.05pt;mso-width-percent:0;mso-height-percent:0;mso-width-percent:0;mso-height-percent:0" o:hralign="center" o:hrstd="t" o:hr="t"/>
        </w:pict>
      </w:r>
    </w:p>
    <w:p w14:paraId="2EAFAE51" w14:textId="77777777" w:rsidR="00FD0EBB" w:rsidRPr="00DC1B3C" w:rsidRDefault="00000000" w:rsidP="00DC1B3C">
      <w:pPr>
        <w:pStyle w:val="FirstParagraph"/>
        <w:jc w:val="both"/>
        <w:rPr>
          <w:rFonts w:ascii="Times New Roman" w:hAnsi="Times New Roman" w:cs="Times New Roman"/>
          <w:sz w:val="22"/>
          <w:szCs w:val="22"/>
        </w:rPr>
      </w:pPr>
      <w:bookmarkStart w:id="2" w:name="figure-1"/>
      <w:bookmarkEnd w:id="1"/>
      <w:r w:rsidRPr="00DC1B3C">
        <w:rPr>
          <w:rFonts w:ascii="Times New Roman" w:hAnsi="Times New Roman" w:cs="Times New Roman"/>
          <w:b/>
          <w:bCs/>
          <w:sz w:val="22"/>
          <w:szCs w:val="22"/>
        </w:rPr>
        <w:t>Figure 1.</w:t>
      </w:r>
      <w:r w:rsidRPr="00DC1B3C">
        <w:rPr>
          <w:rFonts w:ascii="Times New Roman" w:hAnsi="Times New Roman" w:cs="Times New Roman"/>
          <w:sz w:val="22"/>
          <w:szCs w:val="22"/>
        </w:rPr>
        <w:t xml:space="preserve"> Political stability and NbS biophysical potential and implementation efficiency across 189 countries. </w:t>
      </w:r>
      <w:r w:rsidRPr="00DC1B3C">
        <w:rPr>
          <w:rFonts w:ascii="Times New Roman" w:hAnsi="Times New Roman" w:cs="Times New Roman"/>
          <w:b/>
          <w:bCs/>
          <w:sz w:val="22"/>
          <w:szCs w:val="22"/>
        </w:rPr>
        <w:t>(A)</w:t>
      </w:r>
      <w:r w:rsidRPr="00DC1B3C">
        <w:rPr>
          <w:rFonts w:ascii="Times New Roman" w:hAnsi="Times New Roman" w:cs="Times New Roman"/>
          <w:sz w:val="22"/>
          <w:szCs w:val="22"/>
        </w:rPr>
        <w:t xml:space="preserve"> Country-level total NbS mitigation potential (Naturebase v3, 2025) as a function of political stability (WGI Political Stability &amp; Absence of Violence, 2024). Countries are coloured by World Bank income group. The black line shows an OLS regression fit with 95% confidence interval (Spearman </w:t>
      </w:r>
      <w:r w:rsidRPr="00DC1B3C">
        <w:rPr>
          <w:rFonts w:ascii="Times New Roman" w:hAnsi="Times New Roman" w:cs="Times New Roman"/>
          <w:i/>
          <w:iCs/>
          <w:sz w:val="22"/>
          <w:szCs w:val="22"/>
        </w:rPr>
        <w:t>ρ</w:t>
      </w:r>
      <w:r w:rsidRPr="00DC1B3C">
        <w:rPr>
          <w:rFonts w:ascii="Times New Roman" w:hAnsi="Times New Roman" w:cs="Times New Roman"/>
          <w:sz w:val="22"/>
          <w:szCs w:val="22"/>
        </w:rPr>
        <w:t xml:space="preserve"> = −0.47, </w:t>
      </w:r>
      <w:r w:rsidRPr="00DC1B3C">
        <w:rPr>
          <w:rFonts w:ascii="Times New Roman" w:hAnsi="Times New Roman" w:cs="Times New Roman"/>
          <w:i/>
          <w:iCs/>
          <w:sz w:val="22"/>
          <w:szCs w:val="22"/>
        </w:rPr>
        <w:t>p</w:t>
      </w:r>
      <w:r w:rsidRPr="00DC1B3C">
        <w:rPr>
          <w:rFonts w:ascii="Times New Roman" w:hAnsi="Times New Roman" w:cs="Times New Roman"/>
          <w:sz w:val="22"/>
          <w:szCs w:val="22"/>
        </w:rPr>
        <w:t xml:space="preserve"> &lt; 0.001). High-potential countries are disproportionately concentrated among lower-income, less stable nations. </w:t>
      </w:r>
      <w:r w:rsidRPr="00DC1B3C">
        <w:rPr>
          <w:rFonts w:ascii="Times New Roman" w:hAnsi="Times New Roman" w:cs="Times New Roman"/>
          <w:b/>
          <w:bCs/>
          <w:sz w:val="22"/>
          <w:szCs w:val="22"/>
        </w:rPr>
        <w:t>(B)</w:t>
      </w:r>
      <w:r w:rsidRPr="00DC1B3C">
        <w:rPr>
          <w:rFonts w:ascii="Times New Roman" w:hAnsi="Times New Roman" w:cs="Times New Roman"/>
          <w:sz w:val="22"/>
          <w:szCs w:val="22"/>
        </w:rPr>
        <w:t xml:space="preserve"> NbS implementation efficiency — total projects (market-based carbon offset projects, Karnik et al. 2024, </w:t>
      </w:r>
      <w:r w:rsidRPr="00DC1B3C">
        <w:rPr>
          <w:rFonts w:ascii="Times New Roman" w:hAnsi="Times New Roman" w:cs="Times New Roman"/>
          <w:i/>
          <w:iCs/>
          <w:sz w:val="22"/>
          <w:szCs w:val="22"/>
        </w:rPr>
        <w:t>n</w:t>
      </w:r>
      <w:r w:rsidRPr="00DC1B3C">
        <w:rPr>
          <w:rFonts w:ascii="Times New Roman" w:hAnsi="Times New Roman" w:cs="Times New Roman"/>
          <w:sz w:val="22"/>
          <w:szCs w:val="22"/>
        </w:rPr>
        <w:t xml:space="preserve"> = 575; and community-based NbS initiatives, Equator Initiative 2024, </w:t>
      </w:r>
      <w:r w:rsidRPr="00DC1B3C">
        <w:rPr>
          <w:rFonts w:ascii="Times New Roman" w:hAnsi="Times New Roman" w:cs="Times New Roman"/>
          <w:i/>
          <w:iCs/>
          <w:sz w:val="22"/>
          <w:szCs w:val="22"/>
        </w:rPr>
        <w:t>n</w:t>
      </w:r>
      <w:r w:rsidRPr="00DC1B3C">
        <w:rPr>
          <w:rFonts w:ascii="Times New Roman" w:hAnsi="Times New Roman" w:cs="Times New Roman"/>
          <w:sz w:val="22"/>
          <w:szCs w:val="22"/>
        </w:rPr>
        <w:t xml:space="preserve"> = 1,677 with location data) per MtCO</w:t>
      </w:r>
      <w:r w:rsidRPr="00DC1B3C">
        <w:rPr>
          <w:rFonts w:ascii="Times New Roman" w:hAnsi="Times New Roman" w:cs="Times New Roman"/>
          <w:sz w:val="22"/>
          <w:szCs w:val="22"/>
          <w:vertAlign w:val="subscript"/>
        </w:rPr>
        <w:t>2</w:t>
      </w:r>
      <w:r w:rsidRPr="00DC1B3C">
        <w:rPr>
          <w:rFonts w:ascii="Times New Roman" w:hAnsi="Times New Roman" w:cs="Times New Roman"/>
          <w:sz w:val="22"/>
          <w:szCs w:val="22"/>
        </w:rPr>
        <w:t>e yr</w:t>
      </w:r>
      <w:r w:rsidRPr="00DC1B3C">
        <w:rPr>
          <w:rFonts w:ascii="Times New Roman" w:hAnsi="Times New Roman" w:cs="Times New Roman"/>
          <w:sz w:val="22"/>
          <w:szCs w:val="22"/>
          <w:vertAlign w:val="superscript"/>
        </w:rPr>
        <w:t>-1</w:t>
      </w:r>
      <w:r w:rsidRPr="00DC1B3C">
        <w:rPr>
          <w:rFonts w:ascii="Times New Roman" w:hAnsi="Times New Roman" w:cs="Times New Roman"/>
          <w:sz w:val="22"/>
          <w:szCs w:val="22"/>
        </w:rPr>
        <w:t xml:space="preserve"> of biophysical potential — as a function of political stability. Countries with high NbS potential but zero recorded projects are labelled. The positive slope indicates that more politically stable countries implement more projects relative to their available carbon opportunity, despite holding less absolute potential.</w:t>
      </w:r>
    </w:p>
    <w:p w14:paraId="24BF325E" w14:textId="77777777"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noProof/>
          <w:sz w:val="22"/>
          <w:szCs w:val="22"/>
        </w:rPr>
        <w:drawing>
          <wp:inline distT="0" distB="0" distL="0" distR="0" wp14:anchorId="65C52A39" wp14:editId="53DEA074">
            <wp:extent cx="6262254" cy="3131127"/>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Users/mchapma/Desktop/research/political-risk/analysis/paper_writeup_files/figures/fig_paper_main.png"/>
                    <pic:cNvPicPr>
                      <a:picLocks noChangeAspect="1" noChangeArrowheads="1"/>
                    </pic:cNvPicPr>
                  </pic:nvPicPr>
                  <pic:blipFill>
                    <a:blip r:embed="rId6"/>
                    <a:stretch>
                      <a:fillRect/>
                    </a:stretch>
                  </pic:blipFill>
                  <pic:spPr bwMode="auto">
                    <a:xfrm>
                      <a:off x="0" y="0"/>
                      <a:ext cx="6303130" cy="3151565"/>
                    </a:xfrm>
                    <a:prstGeom prst="rect">
                      <a:avLst/>
                    </a:prstGeom>
                    <a:noFill/>
                    <a:ln w="9525">
                      <a:noFill/>
                      <a:headEnd/>
                      <a:tailEnd/>
                    </a:ln>
                  </pic:spPr>
                </pic:pic>
              </a:graphicData>
            </a:graphic>
          </wp:inline>
        </w:drawing>
      </w:r>
    </w:p>
    <w:p w14:paraId="55FC0AED" w14:textId="06EE3F82" w:rsidR="00FD0EBB" w:rsidRPr="00DC1B3C" w:rsidRDefault="00FD0EBB" w:rsidP="00DC1B3C">
      <w:pPr>
        <w:jc w:val="both"/>
        <w:rPr>
          <w:rFonts w:ascii="Times New Roman" w:hAnsi="Times New Roman" w:cs="Times New Roman"/>
          <w:sz w:val="22"/>
          <w:szCs w:val="22"/>
        </w:rPr>
      </w:pPr>
    </w:p>
    <w:p w14:paraId="376E997F" w14:textId="77777777" w:rsidR="00FD0EBB" w:rsidRPr="00DC1B3C" w:rsidRDefault="00000000" w:rsidP="00DC1B3C">
      <w:pPr>
        <w:pStyle w:val="FirstParagraph"/>
        <w:jc w:val="both"/>
        <w:rPr>
          <w:rFonts w:ascii="Times New Roman" w:hAnsi="Times New Roman" w:cs="Times New Roman"/>
          <w:sz w:val="22"/>
          <w:szCs w:val="22"/>
        </w:rPr>
      </w:pPr>
      <w:bookmarkStart w:id="3" w:name="figure-2"/>
      <w:bookmarkEnd w:id="2"/>
      <w:r w:rsidRPr="00DC1B3C">
        <w:rPr>
          <w:rFonts w:ascii="Times New Roman" w:hAnsi="Times New Roman" w:cs="Times New Roman"/>
          <w:b/>
          <w:bCs/>
          <w:sz w:val="22"/>
          <w:szCs w:val="22"/>
        </w:rPr>
        <w:t>Figure 2.</w:t>
      </w:r>
      <w:r w:rsidRPr="00DC1B3C">
        <w:rPr>
          <w:rFonts w:ascii="Times New Roman" w:hAnsi="Times New Roman" w:cs="Times New Roman"/>
          <w:sz w:val="22"/>
          <w:szCs w:val="22"/>
        </w:rPr>
        <w:t xml:space="preserve"> Cumulative NbS mitigation potential accessible as a function of political risk tolerance. The x-axis represents a minimum political stability threshold (WGI PV.EST, 2024): reading left-to-right, progressively higher-risk countries are included. The y-axis shows the cumulative potential of each NbS type as a percentage of its global total. Coloured lines represent four </w:t>
      </w:r>
      <w:r w:rsidRPr="00DC1B3C">
        <w:rPr>
          <w:rFonts w:ascii="Times New Roman" w:hAnsi="Times New Roman" w:cs="Times New Roman"/>
          <w:b/>
          <w:bCs/>
          <w:sz w:val="22"/>
          <w:szCs w:val="22"/>
        </w:rPr>
        <w:t>biome types</w:t>
      </w:r>
      <w:r w:rsidRPr="00DC1B3C">
        <w:rPr>
          <w:rFonts w:ascii="Times New Roman" w:hAnsi="Times New Roman" w:cs="Times New Roman"/>
          <w:sz w:val="22"/>
          <w:szCs w:val="22"/>
        </w:rPr>
        <w:t xml:space="preserve"> (Forest, Grassland, Cropland, Wetland; Naturebase v3, 2025). Grey lines represent three </w:t>
      </w:r>
      <w:r w:rsidRPr="00DC1B3C">
        <w:rPr>
          <w:rFonts w:ascii="Times New Roman" w:hAnsi="Times New Roman" w:cs="Times New Roman"/>
          <w:b/>
          <w:bCs/>
          <w:sz w:val="22"/>
          <w:szCs w:val="22"/>
        </w:rPr>
        <w:t>activity types</w:t>
      </w:r>
      <w:r w:rsidRPr="00DC1B3C">
        <w:rPr>
          <w:rFonts w:ascii="Times New Roman" w:hAnsi="Times New Roman" w:cs="Times New Roman"/>
          <w:sz w:val="22"/>
          <w:szCs w:val="22"/>
        </w:rPr>
        <w:t xml:space="preserve"> (Protection: solid; Management: long-dash; Restoration: dotted). Shaded risk zones correspond to Stable (PV &gt; 1), Moderate (0 &lt; PV ≤ 1), High Risk (−1 &lt; PV ≤ 0), and Fragile (PV &lt; −1) country classifications. Steeper curves indicate greater concentration of potential in high-risk countries.</w:t>
      </w:r>
    </w:p>
    <w:p w14:paraId="29036CCA" w14:textId="77777777"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noProof/>
          <w:sz w:val="22"/>
          <w:szCs w:val="22"/>
        </w:rPr>
        <w:drawing>
          <wp:inline distT="0" distB="0" distL="0" distR="0" wp14:anchorId="725D6707" wp14:editId="5713DB03">
            <wp:extent cx="6033655" cy="3900055"/>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Users/mchapma/Desktop/research/political-risk/analysis/paper_writeup_files/figures/fig_threshold_nbs_type.png"/>
                    <pic:cNvPicPr>
                      <a:picLocks noChangeAspect="1" noChangeArrowheads="1"/>
                    </pic:cNvPicPr>
                  </pic:nvPicPr>
                  <pic:blipFill>
                    <a:blip r:embed="rId7"/>
                    <a:stretch>
                      <a:fillRect/>
                    </a:stretch>
                  </pic:blipFill>
                  <pic:spPr bwMode="auto">
                    <a:xfrm>
                      <a:off x="0" y="0"/>
                      <a:ext cx="6056940" cy="3915106"/>
                    </a:xfrm>
                    <a:prstGeom prst="rect">
                      <a:avLst/>
                    </a:prstGeom>
                    <a:noFill/>
                    <a:ln w="9525">
                      <a:noFill/>
                      <a:headEnd/>
                      <a:tailEnd/>
                    </a:ln>
                  </pic:spPr>
                </pic:pic>
              </a:graphicData>
            </a:graphic>
          </wp:inline>
        </w:drawing>
      </w:r>
    </w:p>
    <w:p w14:paraId="03713816" w14:textId="77777777" w:rsidR="00FD0EBB" w:rsidRPr="00DC1B3C" w:rsidRDefault="009201B5" w:rsidP="00DC1B3C">
      <w:pPr>
        <w:jc w:val="both"/>
        <w:rPr>
          <w:rFonts w:ascii="Times New Roman" w:hAnsi="Times New Roman" w:cs="Times New Roman"/>
          <w:sz w:val="22"/>
          <w:szCs w:val="22"/>
        </w:rPr>
      </w:pPr>
      <w:r w:rsidRPr="009201B5">
        <w:rPr>
          <w:rFonts w:ascii="Times New Roman" w:hAnsi="Times New Roman" w:cs="Times New Roman"/>
          <w:noProof/>
          <w:sz w:val="22"/>
          <w:szCs w:val="22"/>
        </w:rPr>
        <w:pict w14:anchorId="1C2B349C">
          <v:rect id="_x0000_i1025" alt="" style="width:468pt;height:.05pt;mso-width-percent:0;mso-height-percent:0;mso-width-percent:0;mso-height-percent:0" o:hralign="center" o:hrstd="t" o:hr="t"/>
        </w:pict>
      </w:r>
    </w:p>
    <w:p w14:paraId="29814809" w14:textId="77777777" w:rsidR="00FD0EBB" w:rsidRPr="00DC1B3C" w:rsidRDefault="00000000" w:rsidP="00DC1B3C">
      <w:pPr>
        <w:pStyle w:val="Heading2"/>
        <w:jc w:val="both"/>
        <w:rPr>
          <w:rFonts w:ascii="Times New Roman" w:hAnsi="Times New Roman" w:cs="Times New Roman"/>
          <w:sz w:val="22"/>
          <w:szCs w:val="22"/>
        </w:rPr>
      </w:pPr>
      <w:bookmarkStart w:id="4" w:name="references"/>
      <w:bookmarkEnd w:id="3"/>
      <w:r w:rsidRPr="00DC1B3C">
        <w:rPr>
          <w:rFonts w:ascii="Times New Roman" w:hAnsi="Times New Roman" w:cs="Times New Roman"/>
          <w:sz w:val="22"/>
          <w:szCs w:val="22"/>
        </w:rPr>
        <w:t>References</w:t>
      </w:r>
    </w:p>
    <w:p w14:paraId="5FB542E8" w14:textId="77777777" w:rsidR="00FD0EBB" w:rsidRPr="00DC1B3C" w:rsidRDefault="00000000" w:rsidP="00DC1B3C">
      <w:pPr>
        <w:pStyle w:val="FirstParagraph"/>
        <w:jc w:val="both"/>
        <w:rPr>
          <w:rFonts w:ascii="Times New Roman" w:hAnsi="Times New Roman" w:cs="Times New Roman"/>
          <w:sz w:val="22"/>
          <w:szCs w:val="22"/>
        </w:rPr>
      </w:pPr>
      <w:r w:rsidRPr="00DC1B3C">
        <w:rPr>
          <w:rFonts w:ascii="Times New Roman" w:hAnsi="Times New Roman" w:cs="Times New Roman"/>
          <w:sz w:val="22"/>
          <w:szCs w:val="22"/>
        </w:rPr>
        <w:t xml:space="preserve">Karnik, A., Kilbride, J., Goodbody, T., Rachel, R. &amp; Ayrey, E. (2024). </w:t>
      </w:r>
      <w:r w:rsidRPr="00DC1B3C">
        <w:rPr>
          <w:rFonts w:ascii="Times New Roman" w:hAnsi="Times New Roman" w:cs="Times New Roman"/>
          <w:i/>
          <w:iCs/>
          <w:sz w:val="22"/>
          <w:szCs w:val="22"/>
        </w:rPr>
        <w:t>A global database of nature-based carbon offset project boundaries</w:t>
      </w:r>
      <w:r w:rsidRPr="00DC1B3C">
        <w:rPr>
          <w:rFonts w:ascii="Times New Roman" w:hAnsi="Times New Roman" w:cs="Times New Roman"/>
          <w:sz w:val="22"/>
          <w:szCs w:val="22"/>
        </w:rPr>
        <w:t xml:space="preserve"> [Dataset]. Zenodo. </w:t>
      </w:r>
      <w:hyperlink r:id="rId8">
        <w:r w:rsidRPr="00DC1B3C">
          <w:rPr>
            <w:rStyle w:val="Hyperlink"/>
            <w:rFonts w:ascii="Times New Roman" w:hAnsi="Times New Roman" w:cs="Times New Roman"/>
            <w:sz w:val="22"/>
            <w:szCs w:val="22"/>
          </w:rPr>
          <w:t>https://doi.org/10.5281/zenodo.11459391</w:t>
        </w:r>
      </w:hyperlink>
    </w:p>
    <w:p w14:paraId="47D49C9E" w14:textId="77777777"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 xml:space="preserve">The Nature Conservancy (2025). </w:t>
      </w:r>
      <w:r w:rsidRPr="00DC1B3C">
        <w:rPr>
          <w:rFonts w:ascii="Times New Roman" w:hAnsi="Times New Roman" w:cs="Times New Roman"/>
          <w:i/>
          <w:iCs/>
          <w:sz w:val="22"/>
          <w:szCs w:val="22"/>
        </w:rPr>
        <w:t>Naturebase v3</w:t>
      </w:r>
      <w:r w:rsidRPr="00DC1B3C">
        <w:rPr>
          <w:rFonts w:ascii="Times New Roman" w:hAnsi="Times New Roman" w:cs="Times New Roman"/>
          <w:sz w:val="22"/>
          <w:szCs w:val="22"/>
        </w:rPr>
        <w:t xml:space="preserve">. </w:t>
      </w:r>
      <w:hyperlink r:id="rId9">
        <w:r w:rsidRPr="00DC1B3C">
          <w:rPr>
            <w:rStyle w:val="Hyperlink"/>
            <w:rFonts w:ascii="Times New Roman" w:hAnsi="Times New Roman" w:cs="Times New Roman"/>
            <w:sz w:val="22"/>
            <w:szCs w:val="22"/>
          </w:rPr>
          <w:t>https://naturebase.org</w:t>
        </w:r>
      </w:hyperlink>
    </w:p>
    <w:p w14:paraId="4289272D" w14:textId="77777777"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 xml:space="preserve">UNDP Equator Initiative (2024). </w:t>
      </w:r>
      <w:r w:rsidRPr="00DC1B3C">
        <w:rPr>
          <w:rFonts w:ascii="Times New Roman" w:hAnsi="Times New Roman" w:cs="Times New Roman"/>
          <w:i/>
          <w:iCs/>
          <w:sz w:val="22"/>
          <w:szCs w:val="22"/>
        </w:rPr>
        <w:t>Nature-Based Solutions Database</w:t>
      </w:r>
      <w:r w:rsidRPr="00DC1B3C">
        <w:rPr>
          <w:rFonts w:ascii="Times New Roman" w:hAnsi="Times New Roman" w:cs="Times New Roman"/>
          <w:sz w:val="22"/>
          <w:szCs w:val="22"/>
        </w:rPr>
        <w:t xml:space="preserve">. </w:t>
      </w:r>
      <w:hyperlink r:id="rId10">
        <w:r w:rsidRPr="00DC1B3C">
          <w:rPr>
            <w:rStyle w:val="Hyperlink"/>
            <w:rFonts w:ascii="Times New Roman" w:hAnsi="Times New Roman" w:cs="Times New Roman"/>
            <w:sz w:val="22"/>
            <w:szCs w:val="22"/>
          </w:rPr>
          <w:t>https://www.equatorinitiative.org/knowledge-center/nature-based-solutions-database/</w:t>
        </w:r>
      </w:hyperlink>
    </w:p>
    <w:p w14:paraId="22B0B1A8" w14:textId="77777777" w:rsidR="00FD0EBB" w:rsidRPr="00DC1B3C" w:rsidRDefault="00000000" w:rsidP="00DC1B3C">
      <w:pPr>
        <w:pStyle w:val="BodyText"/>
        <w:jc w:val="both"/>
        <w:rPr>
          <w:rFonts w:ascii="Times New Roman" w:hAnsi="Times New Roman" w:cs="Times New Roman"/>
          <w:sz w:val="22"/>
          <w:szCs w:val="22"/>
        </w:rPr>
      </w:pPr>
      <w:r w:rsidRPr="00DC1B3C">
        <w:rPr>
          <w:rFonts w:ascii="Times New Roman" w:hAnsi="Times New Roman" w:cs="Times New Roman"/>
          <w:sz w:val="22"/>
          <w:szCs w:val="22"/>
        </w:rPr>
        <w:t xml:space="preserve">World Bank (2024). </w:t>
      </w:r>
      <w:r w:rsidRPr="00DC1B3C">
        <w:rPr>
          <w:rFonts w:ascii="Times New Roman" w:hAnsi="Times New Roman" w:cs="Times New Roman"/>
          <w:i/>
          <w:iCs/>
          <w:sz w:val="22"/>
          <w:szCs w:val="22"/>
        </w:rPr>
        <w:t>Worldwide Governance Indicators</w:t>
      </w:r>
      <w:r w:rsidRPr="00DC1B3C">
        <w:rPr>
          <w:rFonts w:ascii="Times New Roman" w:hAnsi="Times New Roman" w:cs="Times New Roman"/>
          <w:sz w:val="22"/>
          <w:szCs w:val="22"/>
        </w:rPr>
        <w:t xml:space="preserve">. </w:t>
      </w:r>
      <w:hyperlink r:id="rId11">
        <w:r w:rsidRPr="00DC1B3C">
          <w:rPr>
            <w:rStyle w:val="Hyperlink"/>
            <w:rFonts w:ascii="Times New Roman" w:hAnsi="Times New Roman" w:cs="Times New Roman"/>
            <w:sz w:val="22"/>
            <w:szCs w:val="22"/>
          </w:rPr>
          <w:t>https://www.worldbank.org/en/publication/worldwide-governance-indicators</w:t>
        </w:r>
      </w:hyperlink>
      <w:bookmarkEnd w:id="4"/>
    </w:p>
    <w:sectPr w:rsidR="00FD0EBB" w:rsidRPr="00DC1B3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3855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6511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0EBB"/>
    <w:rsid w:val="001C601D"/>
    <w:rsid w:val="009201B5"/>
    <w:rsid w:val="00DC1B3C"/>
    <w:rsid w:val="00FD0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E6D7"/>
  <w15:docId w15:val="{768D859F-18E9-5F4D-A0DE-D9E1274C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145939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worldbank.org/en/publication/worldwide-governance-indicators" TargetMode="External"/><Relationship Id="rId5" Type="http://schemas.openxmlformats.org/officeDocument/2006/relationships/hyperlink" Target="doi:10.5281/zenodo.11459391" TargetMode="External"/><Relationship Id="rId10" Type="http://schemas.openxmlformats.org/officeDocument/2006/relationships/hyperlink" Target="https://www.equatorinitiative.org/knowledge-center/nature-based-solutions-database/" TargetMode="External"/><Relationship Id="rId4" Type="http://schemas.openxmlformats.org/officeDocument/2006/relationships/webSettings" Target="webSettings.xml"/><Relationship Id="rId9" Type="http://schemas.openxmlformats.org/officeDocument/2006/relationships/hyperlink" Target="https://natureba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1203</Words>
  <Characters>7030</Characters>
  <Application>Microsoft Office Word</Application>
  <DocSecurity>0</DocSecurity>
  <Lines>81</Lines>
  <Paragraphs>14</Paragraphs>
  <ScaleCrop>false</ScaleCrop>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Risk and Nature-based Solutions: Methods and Results</dc:title>
  <dc:creator/>
  <cp:keywords/>
  <cp:lastModifiedBy>Chapman  Melissa</cp:lastModifiedBy>
  <cp:revision>2</cp:revision>
  <dcterms:created xsi:type="dcterms:W3CDTF">2026-07-12T19:42:00Z</dcterms:created>
  <dcterms:modified xsi:type="dcterms:W3CDTF">2026-07-12T19:48:00Z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12, 2026</vt:lpwstr>
  </property>
  <property fmtid="{D5CDD505-2E9C-101B-9397-08002B2CF9AE}" pid="3" name="output">
    <vt:lpwstr/>
  </property>
</Properties>
</file>