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CONSOLIDATION-PROPOSAL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bCs/>
        </w:rPr>
        <w:t xml:space="preserve">Status: this proposal was executed on 2026-05-24.</w:t>
      </w:r>
      <w:r>
        <w:t xml:space="preserve"> </w:t>
      </w:r>
      <w:r>
        <w:t xml:space="preserve">The 24 single-topic files are now in</w:t>
      </w:r>
      <w:r>
        <w:t xml:space="preserve"> </w:t>
      </w:r>
      <w:hyperlink r:id="rId9">
        <w:r>
          <w:rPr>
            <w:rStyle w:val="VerbatimChar"/>
          </w:rPr>
          <w:t xml:space="preserve">New Policy Docs/_archive/</w:t>
        </w:r>
      </w:hyperlink>
      <w:r>
        <w:t xml:space="preserve">. The 10 thematic policies, plus the 3 unchanged reference files (</w:t>
      </w:r>
      <w:r>
        <w:rPr>
          <w:rStyle w:val="VerbatimChar"/>
        </w:rPr>
        <w:t xml:space="preserve">hipaa-definitions.md</w:t>
      </w:r>
      <w:r>
        <w:t xml:space="preserve">,</w:t>
      </w:r>
      <w:r>
        <w:t xml:space="preserve"> </w:t>
      </w:r>
      <w:r>
        <w:rPr>
          <w:rStyle w:val="VerbatimChar"/>
        </w:rPr>
        <w:t xml:space="preserve">platform-and-access-matrix.md</w:t>
      </w:r>
      <w:r>
        <w:t xml:space="preserve">,</w:t>
      </w:r>
      <w:r>
        <w:t xml:space="preserve"> </w:t>
      </w:r>
      <w:r>
        <w:rPr>
          <w:rStyle w:val="VerbatimChar"/>
        </w:rPr>
        <w:t xml:space="preserve">sdlc-and-asset-lifecycle.md</w:t>
      </w:r>
      <w:r>
        <w:t xml:space="preserve"> </w:t>
      </w:r>
      <w:r>
        <w:t xml:space="preserve">— the SDLC was extended rather than archived), are at the top level of</w:t>
      </w:r>
      <w:r>
        <w:t xml:space="preserve"> </w:t>
      </w:r>
      <w:r>
        <w:rPr>
          <w:rStyle w:val="VerbatimChar"/>
        </w:rPr>
        <w:t xml:space="preserve">New Policy Docs/</w:t>
      </w:r>
      <w:r>
        <w:t xml:space="preserve">. The user later opted for</w:t>
      </w:r>
      <w:r>
        <w:t xml:space="preserve"> </w:t>
      </w:r>
      <w:r>
        <w:rPr>
          <w:b/>
          <w:bCs/>
        </w:rPr>
        <w:t xml:space="preserve">13 active files</w:t>
      </w:r>
      <w:r>
        <w:t xml:space="preserve"> </w:t>
      </w:r>
      <w:r>
        <w:t xml:space="preserve">by splitting AI governance into its own file. The COVID-19 clinical protocol (</w:t>
      </w:r>
      <w:r>
        <w:rPr>
          <w:rStyle w:val="VerbatimChar"/>
        </w:rPr>
        <w:t xml:space="preserve">Policy Docs/Millie Clinic COVID Policy.docx</w:t>
      </w:r>
      <w:r>
        <w:t xml:space="preserve">) was integrated as</w:t>
      </w:r>
      <w:r>
        <w:t xml:space="preserve"> </w:t>
      </w:r>
      <w:hyperlink r:id="rId10">
        <w:r>
          <w:rPr>
            <w:rStyle w:val="Hyperlink"/>
          </w:rPr>
          <w:t xml:space="preserve">operational-safeguards.md §A.9</w:t>
        </w:r>
      </w:hyperlink>
      <w:r>
        <w:t xml:space="preserve">. The current authoritative coverage matrix is</w:t>
      </w:r>
      <w:r>
        <w:t xml:space="preserve"> </w:t>
      </w:r>
      <w:hyperlink r:id="rId11">
        <w:r>
          <w:rPr>
            <w:rStyle w:val="VerbatimChar"/>
          </w:rPr>
          <w:t xml:space="preserve">POLICY-VS-QUESTIONNAIRE-MAPPING.md</w:t>
        </w:r>
      </w:hyperlink>
      <w:r>
        <w:t xml:space="preserve"> </w:t>
      </w:r>
      <w:r>
        <w:t xml:space="preserve">— that file supersedes the analysis below for day-to-day reference; keep this proposal for the rationale behind structural decisions.</w:t>
      </w:r>
    </w:p>
    <w:p>
      <w:pPr>
        <w:pStyle w:val="BlockText"/>
      </w:pPr>
      <w:r>
        <w:t xml:space="preserve">Outstanding items (see</w:t>
      </w:r>
      <w:r>
        <w:t xml:space="preserve"> </w:t>
      </w:r>
      <w:hyperlink r:id="rId12">
        <w:r>
          <w:rPr>
            <w:rStyle w:val="Hyperlink"/>
          </w:rPr>
          <w:t xml:space="preserve">TODO.md</w:t>
        </w:r>
      </w:hyperlink>
      <w:r>
        <w:t xml:space="preserve">): patient-facing Notice of Privacy Practices still missing; COVID staff-guidance</w:t>
      </w:r>
      <w:r>
        <w:t xml:space="preserve"> </w:t>
      </w:r>
      <w:r>
        <w:t xml:space="preserve">“To Do…”</w:t>
      </w:r>
      <w:r>
        <w:t xml:space="preserve"> </w:t>
      </w:r>
      <w:r>
        <w:t xml:space="preserve">still incomplete;</w:t>
      </w:r>
      <w:r>
        <w:t xml:space="preserve"> </w:t>
      </w:r>
      <w:r>
        <w:rPr>
          <w:rStyle w:val="VerbatimChar"/>
        </w:rPr>
        <w:t xml:space="preserve">Policy Docs/AWS and Aptible Security Incident Management Policy.docx</w:t>
      </w:r>
      <w:r>
        <w:t xml:space="preserve"> </w:t>
      </w:r>
      <w:r>
        <w:t xml:space="preserve">was not integrated during the May 2026 pass.</w:t>
      </w:r>
    </w:p>
    <w:p>
      <w:r>
        <w:pict>
          <v:rect style="width:0;height:1.5pt" o:hralign="center" o:hrstd="t" o:hr="t"/>
        </w:pict>
      </w:r>
    </w:p>
    <w:bookmarkStart w:id="71" w:name="policy-consolidation-proposal-original"/>
    <w:p>
      <w:pPr>
        <w:pStyle w:val="Heading1"/>
      </w:pPr>
      <w:r>
        <w:t xml:space="preserve">Policy Consolidation Proposal (original)</w:t>
      </w:r>
    </w:p>
    <w:p>
      <w:pPr>
        <w:pStyle w:val="FirstParagraph"/>
      </w:pPr>
      <w:r>
        <w:t xml:space="preserve">Reducing the 24 Markdown files in</w:t>
      </w:r>
      <w:r>
        <w:t xml:space="preserve"> </w:t>
      </w:r>
      <w:r>
        <w:rPr>
          <w:rStyle w:val="VerbatimChar"/>
        </w:rPr>
        <w:t xml:space="preserve">New Policy Docs/</w:t>
      </w:r>
      <w:r>
        <w:t xml:space="preserve"> </w:t>
      </w:r>
      <w:r>
        <w:t xml:space="preserve">to a recommended</w:t>
      </w:r>
      <w:r>
        <w:t xml:space="preserve"> </w:t>
      </w:r>
      <w:r>
        <w:rPr>
          <w:b/>
          <w:bCs/>
        </w:rPr>
        <w:t xml:space="preserve">6 thematic policy documents</w:t>
      </w:r>
      <w:r>
        <w:t xml:space="preserve"> </w:t>
      </w:r>
      <w:r>
        <w:t xml:space="preserve">(plus 2 read-only reference matrices and 1 patient-facing notice that still needs to be written from scratch).</w:t>
      </w:r>
    </w:p>
    <w:p>
      <w:pPr>
        <w:pStyle w:val="BlockText"/>
      </w:pPr>
      <w:r>
        <w:rPr>
          <w:b/>
          <w:bCs/>
        </w:rPr>
        <w:t xml:space="preserve">Important framing finding — read this first.</w:t>
      </w:r>
      <w:r>
        <w:t xml:space="preserve"> </w:t>
      </w:r>
      <w:r>
        <w:t xml:space="preserve">The file currently called</w:t>
      </w:r>
      <w:r>
        <w:t xml:space="preserve"> </w:t>
      </w:r>
      <w:hyperlink r:id="rId13">
        <w:r>
          <w:rPr>
            <w:rStyle w:val="VerbatimChar"/>
          </w:rPr>
          <w:t xml:space="preserve">privacy-policy.md</w:t>
        </w:r>
      </w:hyperlink>
      <w:r>
        <w:t xml:space="preserve"> </w:t>
      </w:r>
      <w:r>
        <w:t xml:space="preserve">is</w:t>
      </w:r>
      <w:r>
        <w:t xml:space="preserve"> </w:t>
      </w:r>
      <w:r>
        <w:rPr>
          <w:b/>
          <w:bCs/>
        </w:rPr>
        <w:t xml:space="preserve">not</w:t>
      </w:r>
      <w:r>
        <w:t xml:space="preserve"> </w:t>
      </w:r>
      <w:r>
        <w:t xml:space="preserve">a patient-facing privacy notice (despite what the README claims on line 32). It is a concatenated dump of 9 HIPAA policies (Accounting of Disclosures, Breach Notification,</w:t>
      </w:r>
      <w:r>
        <w:t xml:space="preserve"> </w:t>
      </w:r>
      <w:r>
        <w:rPr>
          <w:b/>
          <w:bCs/>
        </w:rPr>
        <w:t xml:space="preserve">Device Management &amp; Media Management/Inventory</w:t>
      </w:r>
      <w:r>
        <w:t xml:space="preserve">, Minimum Necessary, Paper Documents, Passwords, Remote Access, Safeguards, Workstation Use), all mis-stamped under one</w:t>
      </w:r>
      <w:r>
        <w:t xml:space="preserve"> </w:t>
      </w:r>
      <w:r>
        <w:t xml:space="preserve">“Accounting of Disclosures Policy”</w:t>
      </w:r>
      <w:r>
        <w:t xml:space="preserve"> </w:t>
      </w:r>
      <w:r>
        <w:t xml:space="preserve">header (line 10) and inheriting Policy # L-003. Every section is duplicated word-for-word from the individual files —</w:t>
      </w:r>
      <w:r>
        <w:t xml:space="preserve"> </w:t>
      </w:r>
      <w:r>
        <w:rPr>
          <w:b/>
          <w:bCs/>
        </w:rPr>
        <w:t xml:space="preserve">except</w:t>
      </w:r>
      <w:r>
        <w:t xml:space="preserve"> </w:t>
      </w:r>
      <w:r>
        <w:t xml:space="preserve">for the</w:t>
      </w:r>
      <w:r>
        <w:t xml:space="preserve"> </w:t>
      </w:r>
      <w:r>
        <w:t xml:space="preserve">“Device Management and Media Management/Inventory Policy”</w:t>
      </w:r>
      <w:r>
        <w:t xml:space="preserve"> </w:t>
      </w:r>
      <w:r>
        <w:t xml:space="preserve">(Policy # IT-004) at lines 564–609. That policy text</w:t>
      </w:r>
      <w:r>
        <w:t xml:space="preserve"> </w:t>
      </w:r>
      <w:r>
        <w:rPr>
          <w:b/>
          <w:bCs/>
        </w:rPr>
        <w:t xml:space="preserve">does not exist as a standalone file</w:t>
      </w:r>
      <w:r>
        <w:t xml:space="preserve"> </w:t>
      </w:r>
      <w:r>
        <w:t xml:space="preserve">in</w:t>
      </w:r>
      <w:r>
        <w:t xml:space="preserve"> </w:t>
      </w:r>
      <w:r>
        <w:rPr>
          <w:rStyle w:val="VerbatimChar"/>
        </w:rPr>
        <w:t xml:space="preserve">New Policy Docs/</w:t>
      </w:r>
      <w:r>
        <w:t xml:space="preserve">. The README also does not list it. Either the standalone file was lost in the docx migration, or it was deliberately rolled up, but it is currently only preserved inside</w:t>
      </w:r>
      <w:r>
        <w:t xml:space="preserve"> </w:t>
      </w:r>
      <w:r>
        <w:rPr>
          <w:rStyle w:val="VerbatimChar"/>
        </w:rPr>
        <w:t xml:space="preserve">privacy-policy.md</w:t>
      </w:r>
      <w:r>
        <w:t xml:space="preserve">. Any consolidation plan</w:t>
      </w:r>
      <w:r>
        <w:t xml:space="preserve"> </w:t>
      </w:r>
      <w:r>
        <w:rPr>
          <w:b/>
          <w:bCs/>
        </w:rPr>
        <w:t xml:space="preserve">must rescue the Device &amp; Media Management content</w:t>
      </w:r>
      <w:r>
        <w:t xml:space="preserve"> </w:t>
      </w:r>
      <w:r>
        <w:t xml:space="preserve">before deleting</w:t>
      </w:r>
      <w:r>
        <w:t xml:space="preserve"> </w:t>
      </w:r>
      <w:r>
        <w:rPr>
          <w:rStyle w:val="VerbatimChar"/>
        </w:rPr>
        <w:t xml:space="preserve">privacy-policy.md</w:t>
      </w:r>
      <w:r>
        <w:t xml:space="preserve">. See §1 and §6 below.</w:t>
      </w:r>
    </w:p>
    <w:p>
      <w:r>
        <w:pict>
          <v:rect style="width:0;height:1.5pt" o:hralign="center" o:hrstd="t" o:hr="t"/>
        </w:pict>
      </w:r>
    </w:p>
    <w:bookmarkStart w:id="28" w:name="duplication-map"/>
    <w:p>
      <w:pPr>
        <w:pStyle w:val="Heading2"/>
      </w:pPr>
      <w:r>
        <w:t xml:space="preserve">§1 — Duplication map</w:t>
      </w:r>
    </w:p>
    <w:p>
      <w:pPr>
        <w:pStyle w:val="FirstParagraph"/>
      </w:pPr>
      <w:r>
        <w:t xml:space="preserve">Each entry: the snippet (quoted or paraphrased) followed by the files in which it appears. All file paths are relative to</w:t>
      </w:r>
      <w:r>
        <w:t xml:space="preserve"> </w:t>
      </w:r>
      <w:r>
        <w:rPr>
          <w:rStyle w:val="VerbatimChar"/>
        </w:rPr>
        <w:t xml:space="preserve">New Policy Docs/</w:t>
      </w:r>
      <w:r>
        <w:t xml:space="preserve">.</w:t>
      </w:r>
    </w:p>
    <w:bookmarkStart w:id="14" w:name="X2622754eb53d6600d974e748a5f798c786d8add"/>
    <w:p>
      <w:pPr>
        <w:pStyle w:val="Heading3"/>
      </w:pPr>
      <w:r>
        <w:t xml:space="preserve">1.1 The standard Scope boilerplate (verbatim, 19 files)</w:t>
      </w:r>
    </w:p>
    <w:p>
      <w:pPr>
        <w:pStyle w:val="FirstParagraph"/>
      </w:pPr>
      <w:r>
        <w:t xml:space="preserve">Quote:</w:t>
      </w:r>
      <w:r>
        <w:t xml:space="preserve"> </w:t>
      </w:r>
      <w:r>
        <w:t xml:space="preserve">&gt;</w:t>
      </w:r>
      <w:r>
        <w:t xml:space="preserve"> </w:t>
      </w:r>
      <w:r>
        <w:t xml:space="preserve">“This Policy applies to all facilities and locations owned, operated, or managed by Millie, Inc.(”</w:t>
      </w:r>
      <w:r>
        <w:t xml:space="preserve">Company”), and all Companypersonnel. For purposes of this Policy, the term</w:t>
      </w:r>
      <w:r>
        <w:t xml:space="preserve"> </w:t>
      </w:r>
      <w:r>
        <w:t xml:space="preserve">“personnel”</w:t>
      </w:r>
      <w:r>
        <w:t xml:space="preserve"> </w:t>
      </w:r>
      <w:r>
        <w:t xml:space="preserve">includes all licensed professionals and staff who perform services on behalf of Company.”</w:t>
      </w:r>
    </w:p>
    <w:p>
      <w:pPr>
        <w:pStyle w:val="BodyText"/>
      </w:pPr>
      <w:r>
        <w:t xml:space="preserve">(Note the missing space between</w:t>
      </w:r>
      <w:r>
        <w:t xml:space="preserve"> </w:t>
      </w:r>
      <w:r>
        <w:t xml:space="preserve">“Company”</w:t>
      </w:r>
      <w:r>
        <w:t xml:space="preserve"> </w:t>
      </w:r>
      <w:r>
        <w:t xml:space="preserve">and</w:t>
      </w:r>
      <w:r>
        <w:t xml:space="preserve"> </w:t>
      </w:r>
      <w:r>
        <w:t xml:space="preserve">“personnel”</w:t>
      </w:r>
      <w:r>
        <w:t xml:space="preserve"> </w:t>
      </w:r>
      <w:r>
        <w:t xml:space="preserve">— a docx→md migration artifact present in nearly every file.)</w:t>
      </w:r>
    </w:p>
    <w:p>
      <w:pPr>
        <w:pStyle w:val="BodyText"/>
      </w:pPr>
      <w:r>
        <w:t xml:space="preserve">Appears in:</w:t>
      </w:r>
      <w:r>
        <w:t xml:space="preserve"> </w:t>
      </w:r>
      <w:r>
        <w:t xml:space="preserve">-</w:t>
      </w:r>
      <w:r>
        <w:t xml:space="preserve"> </w:t>
      </w:r>
      <w:r>
        <w:rPr>
          <w:rStyle w:val="VerbatimChar"/>
        </w:rPr>
        <w:t xml:space="preserve">hipaa-accounting-of-disclosures.md</w:t>
      </w:r>
      <w:r>
        <w:t xml:space="preserve"> </w:t>
      </w:r>
      <w:r>
        <w:t xml:space="preserve">(§1)</w:t>
      </w:r>
      <w:r>
        <w:t xml:space="preserve"> </w:t>
      </w:r>
      <w:r>
        <w:t xml:space="preserve">-</w:t>
      </w:r>
      <w:r>
        <w:t xml:space="preserve"> </w:t>
      </w:r>
      <w:r>
        <w:rPr>
          <w:rStyle w:val="VerbatimChar"/>
        </w:rPr>
        <w:t xml:space="preserve">hipaa-breach-notification.md</w:t>
      </w:r>
      <w:r>
        <w:t xml:space="preserve"> </w:t>
      </w:r>
      <w:r>
        <w:t xml:space="preserve">(§1)</w:t>
      </w:r>
      <w:r>
        <w:t xml:space="preserve"> </w:t>
      </w:r>
      <w:r>
        <w:t xml:space="preserve">-</w:t>
      </w:r>
      <w:r>
        <w:t xml:space="preserve"> </w:t>
      </w:r>
      <w:r>
        <w:rPr>
          <w:rStyle w:val="VerbatimChar"/>
        </w:rPr>
        <w:t xml:space="preserve">hipaa-business-associate-agreement.md</w:t>
      </w:r>
      <w:r>
        <w:t xml:space="preserve"> </w:t>
      </w:r>
      <w:r>
        <w:t xml:space="preserve">(§1)</w:t>
      </w:r>
      <w:r>
        <w:t xml:space="preserve"> </w:t>
      </w:r>
      <w:r>
        <w:t xml:space="preserve">-</w:t>
      </w:r>
      <w:r>
        <w:t xml:space="preserve"> </w:t>
      </w:r>
      <w:r>
        <w:rPr>
          <w:rStyle w:val="VerbatimChar"/>
        </w:rPr>
        <w:t xml:space="preserve">hipaa-contingency-planning.md</w:t>
      </w:r>
      <w:r>
        <w:t xml:space="preserve"> </w:t>
      </w:r>
      <w:r>
        <w:t xml:space="preserve">(§1)</w:t>
      </w:r>
      <w:r>
        <w:t xml:space="preserve"> </w:t>
      </w:r>
      <w:r>
        <w:t xml:space="preserve">-</w:t>
      </w:r>
      <w:r>
        <w:t xml:space="preserve"> </w:t>
      </w:r>
      <w:r>
        <w:rPr>
          <w:rStyle w:val="VerbatimChar"/>
        </w:rPr>
        <w:t xml:space="preserve">hipaa-de-identifying-phi.md</w:t>
      </w:r>
      <w:r>
        <w:t xml:space="preserve"> </w:t>
      </w:r>
      <w:r>
        <w:t xml:space="preserve">(§1)</w:t>
      </w:r>
      <w:r>
        <w:t xml:space="preserve"> </w:t>
      </w:r>
      <w:r>
        <w:t xml:space="preserve">-</w:t>
      </w:r>
      <w:r>
        <w:t xml:space="preserve"> </w:t>
      </w:r>
      <w:r>
        <w:rPr>
          <w:rStyle w:val="VerbatimChar"/>
        </w:rPr>
        <w:t xml:space="preserve">hipaa-definitions.md</w:t>
      </w:r>
      <w:r>
        <w:t xml:space="preserve"> </w:t>
      </w:r>
      <w:r>
        <w:t xml:space="preserve">(§1)</w:t>
      </w:r>
      <w:r>
        <w:t xml:space="preserve"> </w:t>
      </w:r>
      <w:r>
        <w:t xml:space="preserve">-</w:t>
      </w:r>
      <w:r>
        <w:t xml:space="preserve"> </w:t>
      </w:r>
      <w:r>
        <w:rPr>
          <w:rStyle w:val="VerbatimChar"/>
        </w:rPr>
        <w:t xml:space="preserve">hipaa-encryption.md</w:t>
      </w:r>
      <w:r>
        <w:t xml:space="preserve"> </w:t>
      </w:r>
      <w:r>
        <w:t xml:space="preserve">(§1)</w:t>
      </w:r>
      <w:r>
        <w:t xml:space="preserve"> </w:t>
      </w:r>
      <w:r>
        <w:t xml:space="preserve">-</w:t>
      </w:r>
      <w:r>
        <w:t xml:space="preserve"> </w:t>
      </w:r>
      <w:r>
        <w:rPr>
          <w:rStyle w:val="VerbatimChar"/>
        </w:rPr>
        <w:t xml:space="preserve">hipaa-marketing.md</w:t>
      </w:r>
      <w:r>
        <w:t xml:space="preserve"> </w:t>
      </w:r>
      <w:r>
        <w:t xml:space="preserve">(§1)</w:t>
      </w:r>
      <w:r>
        <w:t xml:space="preserve"> </w:t>
      </w:r>
      <w:r>
        <w:t xml:space="preserve">-</w:t>
      </w:r>
      <w:r>
        <w:t xml:space="preserve"> </w:t>
      </w:r>
      <w:r>
        <w:rPr>
          <w:rStyle w:val="VerbatimChar"/>
        </w:rPr>
        <w:t xml:space="preserve">hipaa-minimum-necessary.md</w:t>
      </w:r>
      <w:r>
        <w:t xml:space="preserve"> </w:t>
      </w:r>
      <w:r>
        <w:t xml:space="preserve">(§1)</w:t>
      </w:r>
      <w:r>
        <w:t xml:space="preserve"> </w:t>
      </w:r>
      <w:r>
        <w:t xml:space="preserve">-</w:t>
      </w:r>
      <w:r>
        <w:t xml:space="preserve"> </w:t>
      </w:r>
      <w:r>
        <w:rPr>
          <w:rStyle w:val="VerbatimChar"/>
        </w:rPr>
        <w:t xml:space="preserve">hipaa-paper-documents.md</w:t>
      </w:r>
      <w:r>
        <w:t xml:space="preserve"> </w:t>
      </w:r>
      <w:r>
        <w:t xml:space="preserve">(§1)</w:t>
      </w:r>
      <w:r>
        <w:t xml:space="preserve"> </w:t>
      </w:r>
      <w:r>
        <w:t xml:space="preserve">-</w:t>
      </w:r>
      <w:r>
        <w:t xml:space="preserve"> </w:t>
      </w:r>
      <w:r>
        <w:rPr>
          <w:rStyle w:val="VerbatimChar"/>
        </w:rPr>
        <w:t xml:space="preserve">hipaa-passwords.md</w:t>
      </w:r>
      <w:r>
        <w:t xml:space="preserve"> </w:t>
      </w:r>
      <w:r>
        <w:t xml:space="preserve">(§1)</w:t>
      </w:r>
      <w:r>
        <w:t xml:space="preserve"> </w:t>
      </w:r>
      <w:r>
        <w:t xml:space="preserve">-</w:t>
      </w:r>
      <w:r>
        <w:t xml:space="preserve"> </w:t>
      </w:r>
      <w:r>
        <w:rPr>
          <w:rStyle w:val="VerbatimChar"/>
        </w:rPr>
        <w:t xml:space="preserve">hipaa-phi-use-and-disclosure.md</w:t>
      </w:r>
      <w:r>
        <w:t xml:space="preserve"> </w:t>
      </w:r>
      <w:r>
        <w:t xml:space="preserve">(§1)</w:t>
      </w:r>
      <w:r>
        <w:t xml:space="preserve"> </w:t>
      </w:r>
      <w:r>
        <w:t xml:space="preserve">-</w:t>
      </w:r>
      <w:r>
        <w:t xml:space="preserve"> </w:t>
      </w:r>
      <w:r>
        <w:rPr>
          <w:rStyle w:val="VerbatimChar"/>
        </w:rPr>
        <w:t xml:space="preserve">hipaa-remote-access.md</w:t>
      </w:r>
      <w:r>
        <w:t xml:space="preserve"> </w:t>
      </w:r>
      <w:r>
        <w:t xml:space="preserve">(§1)</w:t>
      </w:r>
      <w:r>
        <w:t xml:space="preserve"> </w:t>
      </w:r>
      <w:r>
        <w:t xml:space="preserve">-</w:t>
      </w:r>
      <w:r>
        <w:t xml:space="preserve"> </w:t>
      </w:r>
      <w:r>
        <w:rPr>
          <w:rStyle w:val="VerbatimChar"/>
        </w:rPr>
        <w:t xml:space="preserve">hipaa-right-to-access.md</w:t>
      </w:r>
      <w:r>
        <w:t xml:space="preserve"> </w:t>
      </w:r>
      <w:r>
        <w:t xml:space="preserve">(§1)</w:t>
      </w:r>
      <w:r>
        <w:t xml:space="preserve"> </w:t>
      </w:r>
      <w:r>
        <w:t xml:space="preserve">-</w:t>
      </w:r>
      <w:r>
        <w:t xml:space="preserve"> </w:t>
      </w:r>
      <w:r>
        <w:rPr>
          <w:rStyle w:val="VerbatimChar"/>
        </w:rPr>
        <w:t xml:space="preserve">hipaa-right-to-amend.md</w:t>
      </w:r>
      <w:r>
        <w:t xml:space="preserve"> </w:t>
      </w:r>
      <w:r>
        <w:t xml:space="preserve">(§1)</w:t>
      </w:r>
      <w:r>
        <w:t xml:space="preserve"> </w:t>
      </w:r>
      <w:r>
        <w:t xml:space="preserve">-</w:t>
      </w:r>
      <w:r>
        <w:t xml:space="preserve"> </w:t>
      </w:r>
      <w:r>
        <w:rPr>
          <w:rStyle w:val="VerbatimChar"/>
        </w:rPr>
        <w:t xml:space="preserve">hipaa-risk-management.md</w:t>
      </w:r>
      <w:r>
        <w:t xml:space="preserve"> </w:t>
      </w:r>
      <w:r>
        <w:t xml:space="preserve">(§1)</w:t>
      </w:r>
      <w:r>
        <w:t xml:space="preserve"> </w:t>
      </w:r>
      <w:r>
        <w:t xml:space="preserve">-</w:t>
      </w:r>
      <w:r>
        <w:t xml:space="preserve"> </w:t>
      </w:r>
      <w:r>
        <w:rPr>
          <w:rStyle w:val="VerbatimChar"/>
        </w:rPr>
        <w:t xml:space="preserve">hipaa-safeguards.md</w:t>
      </w:r>
      <w:r>
        <w:t xml:space="preserve"> </w:t>
      </w:r>
      <w:r>
        <w:t xml:space="preserve">(§1)</w:t>
      </w:r>
      <w:r>
        <w:t xml:space="preserve"> </w:t>
      </w:r>
      <w:r>
        <w:t xml:space="preserve">-</w:t>
      </w:r>
      <w:r>
        <w:t xml:space="preserve"> </w:t>
      </w:r>
      <w:r>
        <w:rPr>
          <w:rStyle w:val="VerbatimChar"/>
        </w:rPr>
        <w:t xml:space="preserve">hipaa-security-incidents.md</w:t>
      </w:r>
      <w:r>
        <w:t xml:space="preserve"> </w:t>
      </w:r>
      <w:r>
        <w:t xml:space="preserve">(§1)</w:t>
      </w:r>
      <w:r>
        <w:t xml:space="preserve"> </w:t>
      </w:r>
      <w:r>
        <w:t xml:space="preserve">-</w:t>
      </w:r>
      <w:r>
        <w:t xml:space="preserve"> </w:t>
      </w:r>
      <w:r>
        <w:rPr>
          <w:rStyle w:val="VerbatimChar"/>
        </w:rPr>
        <w:t xml:space="preserve">hipaa-workstation-use.md</w:t>
      </w:r>
      <w:r>
        <w:t xml:space="preserve"> </w:t>
      </w:r>
      <w:r>
        <w:t xml:space="preserve">(§1)</w:t>
      </w:r>
      <w:r>
        <w:t xml:space="preserve"> </w:t>
      </w:r>
      <w:r>
        <w:t xml:space="preserve">-</w:t>
      </w:r>
      <w:r>
        <w:t xml:space="preserve"> </w:t>
      </w:r>
      <w:r>
        <w:rPr>
          <w:rStyle w:val="VerbatimChar"/>
        </w:rPr>
        <w:t xml:space="preserve">privacy-policy.md</w:t>
      </w:r>
      <w:r>
        <w:t xml:space="preserve"> </w:t>
      </w:r>
      <w:r>
        <w:t xml:space="preserve">(repeats it 9 times, once per embedded policy)</w:t>
      </w:r>
    </w:p>
    <w:p>
      <w:pPr>
        <w:pStyle w:val="BodyText"/>
      </w:pPr>
      <w:r>
        <w:t xml:space="preserve">The SDLC policy uses a slightly broader scope statement covering</w:t>
      </w:r>
      <w:r>
        <w:t xml:space="preserve"> </w:t>
      </w:r>
      <w:r>
        <w:t xml:space="preserve">“Company information systems, software platforms, cloud services, endpoints, mobile devices, and hardware assets that are used to create, receive, maintain, or transmit Company data or Protected Health Information (</w:t>
      </w:r>
      <w:r>
        <w:t xml:space="preserve">‘PHI’</w:t>
      </w:r>
      <w:r>
        <w:t xml:space="preserve">)”</w:t>
      </w:r>
      <w:r>
        <w:t xml:space="preserve"> </w:t>
      </w:r>
      <w:r>
        <w:t xml:space="preserve">— it is the only file with a non-standard scope.</w:t>
      </w:r>
    </w:p>
    <w:bookmarkEnd w:id="14"/>
    <w:bookmarkStart w:id="15" w:name="X05e5c5c76be75efd959ce47f189a1f81c3779aa"/>
    <w:p>
      <w:pPr>
        <w:pStyle w:val="Heading3"/>
      </w:pPr>
      <w:r>
        <w:t xml:space="preserve">1.2 The metadata table header (verbatim, 19 files)</w:t>
      </w:r>
    </w:p>
    <w:p>
      <w:pPr>
        <w:pStyle w:val="FirstParagraph"/>
      </w:pPr>
      <w:r>
        <w:t xml:space="preserve">Every HIPAA-numbered policy opens with the same 2x2 markdown table:</w:t>
      </w:r>
    </w:p>
    <w:p>
      <w:pPr>
        <w:pStyle w:val="SourceCode"/>
      </w:pPr>
      <w:r>
        <w:rPr>
          <w:rStyle w:val="VerbatimChar"/>
        </w:rPr>
        <w:t xml:space="preserve">| **Title**: &lt;name&gt; | **Policy #**: &lt;code&gt; |</w:t>
      </w:r>
      <w:r>
        <w:br/>
      </w:r>
      <w:r>
        <w:rPr>
          <w:rStyle w:val="VerbatimChar"/>
        </w:rPr>
        <w:t xml:space="preserve">| **Effective Date**: &lt;date&gt; | **Last Revised**: &lt;date&gt; |</w:t>
      </w:r>
    </w:p>
    <w:p>
      <w:pPr>
        <w:pStyle w:val="FirstParagraph"/>
      </w:pPr>
      <w:r>
        <w:t xml:space="preserve">Combined with the new YAML frontmatter (</w:t>
      </w:r>
      <w:r>
        <w:rPr>
          <w:rStyle w:val="VerbatimChar"/>
        </w:rPr>
        <w:t xml:space="preserve">title:</w:t>
      </w:r>
      <w:r>
        <w:t xml:space="preserve">,</w:t>
      </w:r>
      <w:r>
        <w:t xml:space="preserve"> </w:t>
      </w:r>
      <w:r>
        <w:rPr>
          <w:rStyle w:val="VerbatimChar"/>
        </w:rPr>
        <w:t xml:space="preserve">last_reviewed:</w:t>
      </w:r>
      <w:r>
        <w:t xml:space="preserve">,</w:t>
      </w:r>
      <w:r>
        <w:t xml:space="preserve"> </w:t>
      </w:r>
      <w:r>
        <w:rPr>
          <w:rStyle w:val="VerbatimChar"/>
        </w:rPr>
        <w:t xml:space="preserve">owner:</w:t>
      </w:r>
      <w:r>
        <w:t xml:space="preserve">) at the top of every file,</w:t>
      </w:r>
      <w:r>
        <w:t xml:space="preserve"> </w:t>
      </w:r>
      <w:r>
        <w:rPr>
          <w:b/>
          <w:bCs/>
        </w:rPr>
        <w:t xml:space="preserve">the document title is repeated 3 times</w:t>
      </w:r>
      <w:r>
        <w:t xml:space="preserve"> </w:t>
      </w:r>
      <w:r>
        <w:t xml:space="preserve">in each file (frontmatter title, table title, and often a markdown</w:t>
      </w:r>
      <w:r>
        <w:t xml:space="preserve"> </w:t>
      </w:r>
      <w:r>
        <w:rPr>
          <w:rStyle w:val="VerbatimChar"/>
        </w:rPr>
        <w:t xml:space="preserve">#</w:t>
      </w:r>
      <w:r>
        <w:t xml:space="preserve"> </w:t>
      </w:r>
      <w:r>
        <w:t xml:space="preserve">header).</w:t>
      </w:r>
    </w:p>
    <w:bookmarkEnd w:id="15"/>
    <w:bookmarkStart w:id="16" w:name="Xf47e4380ffeae401deb6c07d5bbcc9aab85d31a"/>
    <w:p>
      <w:pPr>
        <w:pStyle w:val="Heading3"/>
      </w:pPr>
      <w:r>
        <w:t xml:space="preserve">1.3 Training requirement (4+ files, varying wording)</w:t>
      </w:r>
    </w:p>
    <w:p>
      <w:pPr>
        <w:pStyle w:val="Compact"/>
        <w:numPr>
          <w:ilvl w:val="0"/>
          <w:numId w:val="1001"/>
        </w:numPr>
      </w:pPr>
      <w:r>
        <w:rPr>
          <w:rStyle w:val="VerbatimChar"/>
        </w:rPr>
        <w:t xml:space="preserve">hipaa-safeguards.md</w:t>
      </w:r>
      <w:r>
        <w:t xml:space="preserve"> </w:t>
      </w:r>
      <w:r>
        <w:t xml:space="preserve">§III(c)(iv):</w:t>
      </w:r>
      <w:r>
        <w:t xml:space="preserve"> </w:t>
      </w:r>
      <w:r>
        <w:rPr>
          <w:i/>
          <w:iCs/>
        </w:rPr>
        <w:t xml:space="preserve">“All personnel shall receive training at the time of employment or engagement, with annual updates thereafter or as otherwise needed, regarding Company’s HIPAA compliance program and the safeguards discussed in this Policy.”</w:t>
      </w:r>
    </w:p>
    <w:p>
      <w:pPr>
        <w:pStyle w:val="Compact"/>
        <w:numPr>
          <w:ilvl w:val="0"/>
          <w:numId w:val="1001"/>
        </w:numPr>
      </w:pPr>
      <w:r>
        <w:rPr>
          <w:rStyle w:val="VerbatimChar"/>
        </w:rPr>
        <w:t xml:space="preserve">hipaa-contingency-planning.md</w:t>
      </w:r>
      <w:r>
        <w:t xml:space="preserve"> </w:t>
      </w:r>
      <w:r>
        <w:t xml:space="preserve">§III(a)(i):</w:t>
      </w:r>
      <w:r>
        <w:t xml:space="preserve"> </w:t>
      </w:r>
      <w:r>
        <w:rPr>
          <w:i/>
          <w:iCs/>
        </w:rPr>
        <w:t xml:space="preserve">“All personnel shall receive regular training regarding this Policy.”</w:t>
      </w:r>
    </w:p>
    <w:p>
      <w:pPr>
        <w:pStyle w:val="Compact"/>
        <w:numPr>
          <w:ilvl w:val="0"/>
          <w:numId w:val="1001"/>
        </w:numPr>
      </w:pPr>
      <w:r>
        <w:rPr>
          <w:rStyle w:val="VerbatimChar"/>
        </w:rPr>
        <w:t xml:space="preserve">hipaa-paper-documents.md</w:t>
      </w:r>
      <w:r>
        <w:t xml:space="preserve"> </w:t>
      </w:r>
      <w:r>
        <w:t xml:space="preserve">§III(a) bullet:</w:t>
      </w:r>
      <w:r>
        <w:t xml:space="preserve"> </w:t>
      </w:r>
      <w:r>
        <w:rPr>
          <w:i/>
          <w:iCs/>
        </w:rPr>
        <w:t xml:space="preserve">“Prior to gaining access to Protected Documents, all personnel must receive training in the use and disclosure of PHI, and Company must obtain evidence of such training.”</w:t>
      </w:r>
    </w:p>
    <w:p>
      <w:pPr>
        <w:pStyle w:val="Compact"/>
        <w:numPr>
          <w:ilvl w:val="0"/>
          <w:numId w:val="1001"/>
        </w:numPr>
      </w:pPr>
      <w:r>
        <w:rPr>
          <w:rStyle w:val="VerbatimChar"/>
        </w:rPr>
        <w:t xml:space="preserve">hipaa-encryption.md</w:t>
      </w:r>
      <w:r>
        <w:t xml:space="preserve"> </w:t>
      </w:r>
      <w:r>
        <w:t xml:space="preserve">§III(a)(iii):</w:t>
      </w:r>
      <w:r>
        <w:t xml:space="preserve"> </w:t>
      </w:r>
      <w:r>
        <w:rPr>
          <w:i/>
          <w:iCs/>
        </w:rPr>
        <w:t xml:space="preserve">“The Chief Security Officer will be responsible for training all applicable personnel in the use of encryption…”</w:t>
      </w:r>
    </w:p>
    <w:p>
      <w:pPr>
        <w:pStyle w:val="Compact"/>
        <w:numPr>
          <w:ilvl w:val="0"/>
          <w:numId w:val="1001"/>
        </w:numPr>
      </w:pPr>
      <w:r>
        <w:rPr>
          <w:rStyle w:val="VerbatimChar"/>
        </w:rPr>
        <w:t xml:space="preserve">README.md</w:t>
      </w:r>
      <w:r>
        <w:t xml:space="preserve"> </w:t>
      </w:r>
      <w:r>
        <w:t xml:space="preserve">Annual section:</w:t>
      </w:r>
      <w:r>
        <w:t xml:space="preserve"> </w:t>
      </w:r>
      <w:r>
        <w:rPr>
          <w:i/>
          <w:iCs/>
        </w:rPr>
        <w:t xml:space="preserve">“Workforce HIPAA training refresh for all personnel…”</w:t>
      </w:r>
    </w:p>
    <w:bookmarkEnd w:id="16"/>
    <w:bookmarkStart w:id="17" w:name="X6e7ab9c1202ffa1b3000bb904a9d7e896d344cc"/>
    <w:p>
      <w:pPr>
        <w:pStyle w:val="Heading3"/>
      </w:pPr>
      <w:r>
        <w:t xml:space="preserve">1.4 Disciplinary action sentence (only explicit in 1 file, implied in many)</w:t>
      </w:r>
    </w:p>
    <w:p>
      <w:pPr>
        <w:pStyle w:val="FirstParagraph"/>
      </w:pPr>
      <w:r>
        <w:t xml:space="preserve">The only file that contains an explicit</w:t>
      </w:r>
      <w:r>
        <w:t xml:space="preserve"> </w:t>
      </w:r>
      <w:r>
        <w:t xml:space="preserve">“violations will result in disciplinary action”</w:t>
      </w:r>
      <w:r>
        <w:t xml:space="preserve"> </w:t>
      </w:r>
      <w:r>
        <w:t xml:space="preserve">clause is</w:t>
      </w:r>
      <w:r>
        <w:t xml:space="preserve"> </w:t>
      </w:r>
      <w:r>
        <w:rPr>
          <w:rStyle w:val="VerbatimChar"/>
        </w:rPr>
        <w:t xml:space="preserve">hipaa-risk-management.md</w:t>
      </w:r>
      <w:r>
        <w:t xml:space="preserve"> </w:t>
      </w:r>
      <w:r>
        <w:t xml:space="preserve">§II(d):</w:t>
      </w:r>
      <w:r>
        <w:t xml:space="preserve"> </w:t>
      </w:r>
      <w:r>
        <w:t xml:space="preserve">&gt;</w:t>
      </w:r>
      <w:r>
        <w:t xml:space="preserve"> </w:t>
      </w:r>
      <w:r>
        <w:rPr>
          <w:i/>
          <w:iCs/>
        </w:rPr>
        <w:t xml:space="preserve">“Any personnel member who violates this Policy will be subject to disciplinary action based on the severity of the violation.”</w:t>
      </w:r>
    </w:p>
    <w:p>
      <w:pPr>
        <w:pStyle w:val="BodyText"/>
      </w:pPr>
      <w:r>
        <w:t xml:space="preserve">This is a notable gap — most HIPAA policies should contain a sanctions/discipline clause for 45 C.F.R. § 164.530(e) compliance. The Breach Notification policy alludes to it (§IV(g)(iii)</w:t>
      </w:r>
      <w:r>
        <w:t xml:space="preserve"> </w:t>
      </w:r>
      <w:r>
        <w:t xml:space="preserve">“Sanctions … the Company Internal Investigations &amp; Corrective Action Policy will be followed”</w:t>
      </w:r>
      <w:r>
        <w:t xml:space="preserve">), but that referenced policy is not in the repo.</w:t>
      </w:r>
    </w:p>
    <w:bookmarkEnd w:id="17"/>
    <w:bookmarkStart w:id="18" w:name="X56c650fe17e6b3d4f6cbf0d5ee1431069f7a9c8"/>
    <w:p>
      <w:pPr>
        <w:pStyle w:val="Heading3"/>
      </w:pPr>
      <w:r>
        <w:t xml:space="preserve">1.5 References to a Chief Privacy Officer / Chief Security Officer (nearly every file)</w:t>
      </w:r>
    </w:p>
    <w:p>
      <w:pPr>
        <w:pStyle w:val="Compact"/>
        <w:numPr>
          <w:ilvl w:val="0"/>
          <w:numId w:val="1002"/>
        </w:numPr>
      </w:pPr>
      <w:r>
        <w:t xml:space="preserve">“Chief Privacy Officer”</w:t>
      </w:r>
      <w:r>
        <w:t xml:space="preserve"> </w:t>
      </w:r>
      <w:r>
        <w:t xml:space="preserve">appears in:</w:t>
      </w:r>
      <w:r>
        <w:t xml:space="preserve"> </w:t>
      </w:r>
      <w:r>
        <w:rPr>
          <w:rStyle w:val="VerbatimChar"/>
        </w:rPr>
        <w:t xml:space="preserve">hipaa-accounting-of-disclosures.md</w:t>
      </w:r>
      <w:r>
        <w:t xml:space="preserve">,</w:t>
      </w:r>
      <w:r>
        <w:t xml:space="preserve"> </w:t>
      </w:r>
      <w:r>
        <w:rPr>
          <w:rStyle w:val="VerbatimChar"/>
        </w:rPr>
        <w:t xml:space="preserve">hipaa-breach-notification.md</w:t>
      </w:r>
      <w:r>
        <w:t xml:space="preserve">,</w:t>
      </w:r>
      <w:r>
        <w:t xml:space="preserve"> </w:t>
      </w:r>
      <w:r>
        <w:rPr>
          <w:rStyle w:val="VerbatimChar"/>
        </w:rPr>
        <w:t xml:space="preserve">hipaa-business-associate-agreement.md</w:t>
      </w:r>
      <w:r>
        <w:t xml:space="preserve">,</w:t>
      </w:r>
      <w:r>
        <w:t xml:space="preserve"> </w:t>
      </w:r>
      <w:r>
        <w:rPr>
          <w:rStyle w:val="VerbatimChar"/>
        </w:rPr>
        <w:t xml:space="preserve">hipaa-de-identifying-phi.md</w:t>
      </w:r>
      <w:r>
        <w:t xml:space="preserve">,</w:t>
      </w:r>
      <w:r>
        <w:t xml:space="preserve"> </w:t>
      </w:r>
      <w:r>
        <w:rPr>
          <w:rStyle w:val="VerbatimChar"/>
        </w:rPr>
        <w:t xml:space="preserve">hipaa-marketing.md</w:t>
      </w:r>
      <w:r>
        <w:t xml:space="preserve">,</w:t>
      </w:r>
      <w:r>
        <w:t xml:space="preserve"> </w:t>
      </w:r>
      <w:r>
        <w:rPr>
          <w:rStyle w:val="VerbatimChar"/>
        </w:rPr>
        <w:t xml:space="preserve">hipaa-paper-documents.md</w:t>
      </w:r>
      <w:r>
        <w:t xml:space="preserve">,</w:t>
      </w:r>
      <w:r>
        <w:t xml:space="preserve"> </w:t>
      </w:r>
      <w:r>
        <w:rPr>
          <w:rStyle w:val="VerbatimChar"/>
        </w:rPr>
        <w:t xml:space="preserve">hipaa-phi-use-and-disclosure.md</w:t>
      </w:r>
      <w:r>
        <w:t xml:space="preserve">,</w:t>
      </w:r>
      <w:r>
        <w:t xml:space="preserve"> </w:t>
      </w:r>
      <w:r>
        <w:rPr>
          <w:rStyle w:val="VerbatimChar"/>
        </w:rPr>
        <w:t xml:space="preserve">hipaa-right-to-access.md</w:t>
      </w:r>
      <w:r>
        <w:t xml:space="preserve">,</w:t>
      </w:r>
      <w:r>
        <w:t xml:space="preserve"> </w:t>
      </w:r>
      <w:r>
        <w:rPr>
          <w:rStyle w:val="VerbatimChar"/>
        </w:rPr>
        <w:t xml:space="preserve">hipaa-right-to-amend.md</w:t>
      </w:r>
      <w:r>
        <w:t xml:space="preserve">,</w:t>
      </w:r>
      <w:r>
        <w:t xml:space="preserve"> </w:t>
      </w:r>
      <w:r>
        <w:rPr>
          <w:rStyle w:val="VerbatimChar"/>
        </w:rPr>
        <w:t xml:space="preserve">hipaa-risk-management.md</w:t>
      </w:r>
      <w:r>
        <w:t xml:space="preserve">,</w:t>
      </w:r>
      <w:r>
        <w:t xml:space="preserve"> </w:t>
      </w:r>
      <w:r>
        <w:rPr>
          <w:rStyle w:val="VerbatimChar"/>
        </w:rPr>
        <w:t xml:space="preserve">hipaa-safeguards.md</w:t>
      </w:r>
      <w:r>
        <w:t xml:space="preserve">,</w:t>
      </w:r>
      <w:r>
        <w:t xml:space="preserve"> </w:t>
      </w:r>
      <w:r>
        <w:rPr>
          <w:rStyle w:val="VerbatimChar"/>
        </w:rPr>
        <w:t xml:space="preserve">hipaa-security-incidents.md</w:t>
      </w:r>
      <w:r>
        <w:t xml:space="preserve">,</w:t>
      </w:r>
      <w:r>
        <w:t xml:space="preserve"> </w:t>
      </w:r>
      <w:r>
        <w:rPr>
          <w:rStyle w:val="VerbatimChar"/>
        </w:rPr>
        <w:t xml:space="preserve">hipaa-remote-access.md</w:t>
      </w:r>
      <w:r>
        <w:t xml:space="preserve">,</w:t>
      </w:r>
      <w:r>
        <w:t xml:space="preserve"> </w:t>
      </w:r>
      <w:r>
        <w:rPr>
          <w:rStyle w:val="VerbatimChar"/>
        </w:rPr>
        <w:t xml:space="preserve">hipaa-breach-notification.md</w:t>
      </w:r>
      <w:r>
        <w:t xml:space="preserve">,</w:t>
      </w:r>
      <w:r>
        <w:t xml:space="preserve"> </w:t>
      </w:r>
      <w:r>
        <w:rPr>
          <w:rStyle w:val="VerbatimChar"/>
        </w:rPr>
        <w:t xml:space="preserve">privacy-policy.md</w:t>
      </w:r>
      <w:r>
        <w:t xml:space="preserve">.</w:t>
      </w:r>
    </w:p>
    <w:p>
      <w:pPr>
        <w:pStyle w:val="Compact"/>
        <w:numPr>
          <w:ilvl w:val="0"/>
          <w:numId w:val="1002"/>
        </w:numPr>
      </w:pPr>
      <w:r>
        <w:t xml:space="preserve">“Chief Security Officer”</w:t>
      </w:r>
      <w:r>
        <w:t xml:space="preserve"> </w:t>
      </w:r>
      <w:r>
        <w:t xml:space="preserve">appears in:</w:t>
      </w:r>
      <w:r>
        <w:t xml:space="preserve"> </w:t>
      </w:r>
      <w:r>
        <w:rPr>
          <w:rStyle w:val="VerbatimChar"/>
        </w:rPr>
        <w:t xml:space="preserve">hipaa-contingency-planning.md</w:t>
      </w:r>
      <w:r>
        <w:t xml:space="preserve">,</w:t>
      </w:r>
      <w:r>
        <w:t xml:space="preserve"> </w:t>
      </w:r>
      <w:r>
        <w:rPr>
          <w:rStyle w:val="VerbatimChar"/>
        </w:rPr>
        <w:t xml:space="preserve">hipaa-encryption.md</w:t>
      </w:r>
      <w:r>
        <w:t xml:space="preserve">,</w:t>
      </w:r>
      <w:r>
        <w:t xml:space="preserve"> </w:t>
      </w:r>
      <w:r>
        <w:rPr>
          <w:rStyle w:val="VerbatimChar"/>
        </w:rPr>
        <w:t xml:space="preserve">hipaa-passwords.md</w:t>
      </w:r>
      <w:r>
        <w:t xml:space="preserve">,</w:t>
      </w:r>
      <w:r>
        <w:t xml:space="preserve"> </w:t>
      </w:r>
      <w:r>
        <w:rPr>
          <w:rStyle w:val="VerbatimChar"/>
        </w:rPr>
        <w:t xml:space="preserve">hipaa-remote-access.md</w:t>
      </w:r>
      <w:r>
        <w:t xml:space="preserve">,</w:t>
      </w:r>
      <w:r>
        <w:t xml:space="preserve"> </w:t>
      </w:r>
      <w:r>
        <w:rPr>
          <w:rStyle w:val="VerbatimChar"/>
        </w:rPr>
        <w:t xml:space="preserve">hipaa-risk-management.md</w:t>
      </w:r>
      <w:r>
        <w:t xml:space="preserve">,</w:t>
      </w:r>
      <w:r>
        <w:t xml:space="preserve"> </w:t>
      </w:r>
      <w:r>
        <w:rPr>
          <w:rStyle w:val="VerbatimChar"/>
        </w:rPr>
        <w:t xml:space="preserve">hipaa-safeguards.md</w:t>
      </w:r>
      <w:r>
        <w:t xml:space="preserve">,</w:t>
      </w:r>
      <w:r>
        <w:t xml:space="preserve"> </w:t>
      </w:r>
      <w:r>
        <w:rPr>
          <w:rStyle w:val="VerbatimChar"/>
        </w:rPr>
        <w:t xml:space="preserve">hipaa-security-incidents.md</w:t>
      </w:r>
      <w:r>
        <w:t xml:space="preserve">,</w:t>
      </w:r>
      <w:r>
        <w:t xml:space="preserve"> </w:t>
      </w:r>
      <w:r>
        <w:rPr>
          <w:rStyle w:val="VerbatimChar"/>
        </w:rPr>
        <w:t xml:space="preserve">hipaa-workstation-use.md</w:t>
      </w:r>
      <w:r>
        <w:t xml:space="preserve">,</w:t>
      </w:r>
      <w:r>
        <w:t xml:space="preserve"> </w:t>
      </w:r>
      <w:r>
        <w:rPr>
          <w:rStyle w:val="VerbatimChar"/>
        </w:rPr>
        <w:t xml:space="preserve">sdlc-and-asset-lifecycle.md</w:t>
      </w:r>
      <w:r>
        <w:t xml:space="preserve">,</w:t>
      </w:r>
      <w:r>
        <w:t xml:space="preserve"> </w:t>
      </w:r>
      <w:r>
        <w:rPr>
          <w:rStyle w:val="VerbatimChar"/>
        </w:rPr>
        <w:t xml:space="preserve">information-security-framework.md</w:t>
      </w:r>
      <w:r>
        <w:t xml:space="preserve">,</w:t>
      </w:r>
      <w:r>
        <w:t xml:space="preserve"> </w:t>
      </w:r>
      <w:r>
        <w:rPr>
          <w:rStyle w:val="VerbatimChar"/>
        </w:rPr>
        <w:t xml:space="preserve">privacy-policy.md</w:t>
      </w:r>
      <w:r>
        <w:t xml:space="preserve">.</w:t>
      </w:r>
    </w:p>
    <w:p>
      <w:pPr>
        <w:pStyle w:val="Compact"/>
        <w:numPr>
          <w:ilvl w:val="0"/>
          <w:numId w:val="1002"/>
        </w:numPr>
      </w:pPr>
      <w:r>
        <w:t xml:space="preserve">“Risk Review Committee”</w:t>
      </w:r>
      <w:r>
        <w:t xml:space="preserve"> </w:t>
      </w:r>
      <w:r>
        <w:t xml:space="preserve">/</w:t>
      </w:r>
      <w:r>
        <w:t xml:space="preserve"> </w:t>
      </w:r>
      <w:r>
        <w:t xml:space="preserve">“Risk Committee”</w:t>
      </w:r>
      <w:r>
        <w:t xml:space="preserve">:</w:t>
      </w:r>
      <w:r>
        <w:t xml:space="preserve"> </w:t>
      </w:r>
      <w:r>
        <w:rPr>
          <w:rStyle w:val="VerbatimChar"/>
        </w:rPr>
        <w:t xml:space="preserve">hipaa-risk-management.md</w:t>
      </w:r>
      <w:r>
        <w:t xml:space="preserve"> </w:t>
      </w:r>
      <w:r>
        <w:t xml:space="preserve">(multiple),</w:t>
      </w:r>
      <w:r>
        <w:t xml:space="preserve"> </w:t>
      </w:r>
      <w:r>
        <w:rPr>
          <w:rStyle w:val="VerbatimChar"/>
        </w:rPr>
        <w:t xml:space="preserve">README.md</w:t>
      </w:r>
      <w:r>
        <w:t xml:space="preserve">. The term</w:t>
      </w:r>
      <w:r>
        <w:t xml:space="preserve"> </w:t>
      </w:r>
      <w:r>
        <w:rPr>
          <w:b/>
          <w:bCs/>
        </w:rPr>
        <w:t xml:space="preserve">“Risk Management Team”</w:t>
      </w:r>
      <w:r>
        <w:t xml:space="preserve"> </w:t>
      </w:r>
      <w:r>
        <w:t xml:space="preserve">is also defined in</w:t>
      </w:r>
      <w:r>
        <w:t xml:space="preserve"> </w:t>
      </w:r>
      <w:r>
        <w:rPr>
          <w:rStyle w:val="VerbatimChar"/>
        </w:rPr>
        <w:t xml:space="preserve">hipaa-definitions.md</w:t>
      </w:r>
      <w:r>
        <w:t xml:space="preserve"> </w:t>
      </w:r>
      <w:r>
        <w:t xml:space="preserve">§II(r) — these may or may not refer to the same body and should be reconciled.</w:t>
      </w:r>
    </w:p>
    <w:bookmarkEnd w:id="18"/>
    <w:bookmarkStart w:id="19" w:name="definitions-repeated-across-files"/>
    <w:p>
      <w:pPr>
        <w:pStyle w:val="Heading3"/>
      </w:pPr>
      <w:r>
        <w:t xml:space="preserve">1.6 Definitions repeated across files</w:t>
      </w:r>
    </w:p>
    <w:p>
      <w:pPr>
        <w:pStyle w:val="FirstParagraph"/>
      </w:pPr>
      <w:r>
        <w:t xml:space="preserve">The same defined terms appear in multiple files (sometimes with subtle wording differences):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Defined in</w:t>
            </w:r>
          </w:p>
        </w:tc>
      </w:tr>
      <w:tr>
        <w:tc>
          <w:tcPr/>
          <w:p>
            <w:pPr>
              <w:pStyle w:val="Compact"/>
            </w:pPr>
            <w:r>
              <w:rPr>
                <w:rStyle w:val="VerbatimChar"/>
              </w:rPr>
              <w:t xml:space="preserve">PHI</w:t>
            </w:r>
            <w:r>
              <w:t xml:space="preserve"> </w:t>
            </w:r>
            <w:r>
              <w:t xml:space="preserve">/</w:t>
            </w:r>
            <w:r>
              <w:t xml:space="preserve"> </w:t>
            </w:r>
            <w:r>
              <w:rPr>
                <w:rStyle w:val="VerbatimChar"/>
              </w:rPr>
              <w:t xml:space="preserve">Protected Health Information</w:t>
            </w:r>
          </w:p>
        </w:tc>
        <w:tc>
          <w:tcPr/>
          <w:p>
            <w:pPr>
              <w:pStyle w:val="Compact"/>
            </w:pPr>
            <w:r>
              <w:rPr>
                <w:rStyle w:val="VerbatimChar"/>
              </w:rPr>
              <w:t xml:space="preserve">hipaa-definitions.md</w:t>
            </w:r>
            <w:r>
              <w:t xml:space="preserve">, used by all 20+ HIPAA files; effectively re-defined in</w:t>
            </w:r>
            <w:r>
              <w:t xml:space="preserve"> </w:t>
            </w:r>
            <w:r>
              <w:rPr>
                <w:rStyle w:val="VerbatimChar"/>
              </w:rPr>
              <w:t xml:space="preserve">information-security-framework.md</w:t>
            </w:r>
            <w:r>
              <w:t xml:space="preserve"> </w:t>
            </w:r>
            <w:r>
              <w:t xml:space="preserve">§1</w:t>
            </w:r>
          </w:p>
        </w:tc>
      </w:tr>
      <w:tr>
        <w:tc>
          <w:tcPr/>
          <w:p>
            <w:pPr>
              <w:pStyle w:val="Compact"/>
            </w:pPr>
            <w:r>
              <w:rPr>
                <w:rStyle w:val="VerbatimChar"/>
              </w:rPr>
              <w:t xml:space="preserve">ePHI</w:t>
            </w:r>
          </w:p>
        </w:tc>
        <w:tc>
          <w:tcPr/>
          <w:p>
            <w:pPr>
              <w:pStyle w:val="Compact"/>
            </w:pPr>
            <w:r>
              <w:rPr>
                <w:rStyle w:val="VerbatimChar"/>
              </w:rPr>
              <w:t xml:space="preserve">hipaa-encryption.md</w:t>
            </w:r>
            <w:r>
              <w:t xml:space="preserve"> </w:t>
            </w:r>
            <w:r>
              <w:t xml:space="preserve">§II,</w:t>
            </w:r>
            <w:r>
              <w:t xml:space="preserve"> </w:t>
            </w:r>
            <w:r>
              <w:rPr>
                <w:rStyle w:val="VerbatimChar"/>
              </w:rPr>
              <w:t xml:space="preserve">hipaa-risk-management.md</w:t>
            </w:r>
            <w:r>
              <w:t xml:space="preserve"> </w:t>
            </w:r>
            <w:r>
              <w:t xml:space="preserve">§II,</w:t>
            </w:r>
            <w:r>
              <w:t xml:space="preserve"> </w:t>
            </w:r>
            <w:r>
              <w:rPr>
                <w:rStyle w:val="VerbatimChar"/>
              </w:rPr>
              <w:t xml:space="preserve">information-security-framework.md</w:t>
            </w:r>
            <w:r>
              <w:t xml:space="preserve"> </w:t>
            </w:r>
            <w:r>
              <w:t xml:space="preserve">§1</w:t>
            </w:r>
          </w:p>
        </w:tc>
      </w:tr>
      <w:tr>
        <w:tc>
          <w:tcPr/>
          <w:p>
            <w:pPr>
              <w:pStyle w:val="Compact"/>
            </w:pPr>
            <w:r>
              <w:rPr>
                <w:rStyle w:val="VerbatimChar"/>
              </w:rPr>
              <w:t xml:space="preserve">Business Associate</w:t>
            </w:r>
          </w:p>
        </w:tc>
        <w:tc>
          <w:tcPr/>
          <w:p>
            <w:pPr>
              <w:pStyle w:val="Compact"/>
            </w:pPr>
            <w:r>
              <w:rPr>
                <w:rStyle w:val="VerbatimChar"/>
              </w:rPr>
              <w:t xml:space="preserve">hipaa-definitions.md</w:t>
            </w:r>
            <w:r>
              <w:t xml:space="preserve">,</w:t>
            </w:r>
            <w:r>
              <w:t xml:space="preserve"> </w:t>
            </w:r>
            <w:r>
              <w:rPr>
                <w:rStyle w:val="VerbatimChar"/>
              </w:rPr>
              <w:t xml:space="preserve">hipaa-business-associate-agreement.md</w:t>
            </w:r>
            <w:r>
              <w:t xml:space="preserve"> </w:t>
            </w:r>
            <w:r>
              <w:t xml:space="preserve">(uses but does not re-define)</w:t>
            </w:r>
          </w:p>
        </w:tc>
      </w:tr>
      <w:tr>
        <w:tc>
          <w:tcPr/>
          <w:p>
            <w:pPr>
              <w:pStyle w:val="Compact"/>
            </w:pPr>
            <w:r>
              <w:rPr>
                <w:rStyle w:val="VerbatimChar"/>
              </w:rPr>
              <w:t xml:space="preserve">Breach</w:t>
            </w:r>
          </w:p>
        </w:tc>
        <w:tc>
          <w:tcPr/>
          <w:p>
            <w:pPr>
              <w:pStyle w:val="Compact"/>
            </w:pPr>
            <w:r>
              <w:rPr>
                <w:rStyle w:val="VerbatimChar"/>
              </w:rPr>
              <w:t xml:space="preserve">hipaa-definitions.md</w:t>
            </w:r>
            <w:r>
              <w:t xml:space="preserve">,</w:t>
            </w:r>
            <w:r>
              <w:t xml:space="preserve"> </w:t>
            </w:r>
            <w:r>
              <w:rPr>
                <w:rStyle w:val="VerbatimChar"/>
              </w:rPr>
              <w:t xml:space="preserve">hipaa-breach-notification.md</w:t>
            </w:r>
            <w:r>
              <w:t xml:space="preserve"> </w:t>
            </w:r>
            <w:r>
              <w:t xml:space="preserve">(uses),</w:t>
            </w:r>
            <w:r>
              <w:t xml:space="preserve"> </w:t>
            </w:r>
            <w:r>
              <w:rPr>
                <w:rStyle w:val="VerbatimChar"/>
              </w:rPr>
              <w:t xml:space="preserve">privacy-policy.md</w:t>
            </w:r>
          </w:p>
        </w:tc>
      </w:tr>
      <w:tr>
        <w:tc>
          <w:tcPr/>
          <w:p>
            <w:pPr>
              <w:pStyle w:val="Compact"/>
            </w:pPr>
            <w:r>
              <w:rPr>
                <w:rStyle w:val="VerbatimChar"/>
              </w:rPr>
              <w:t xml:space="preserve">Disclosure</w:t>
            </w:r>
          </w:p>
        </w:tc>
        <w:tc>
          <w:tcPr/>
          <w:p>
            <w:pPr>
              <w:pStyle w:val="Compact"/>
            </w:pPr>
            <w:r>
              <w:rPr>
                <w:rStyle w:val="VerbatimChar"/>
              </w:rPr>
              <w:t xml:space="preserve">hipaa-definitions.md</w:t>
            </w:r>
            <w:r>
              <w:t xml:space="preserve"> </w:t>
            </w:r>
            <w:r>
              <w:t xml:space="preserve">(implied),</w:t>
            </w:r>
            <w:r>
              <w:t xml:space="preserve"> </w:t>
            </w:r>
            <w:r>
              <w:rPr>
                <w:rStyle w:val="VerbatimChar"/>
              </w:rPr>
              <w:t xml:space="preserve">hipaa-breach-notification.md</w:t>
            </w:r>
            <w:r>
              <w:t xml:space="preserve"> </w:t>
            </w:r>
            <w:r>
              <w:t xml:space="preserve">§II(b),</w:t>
            </w:r>
            <w:r>
              <w:t xml:space="preserve"> </w:t>
            </w:r>
            <w:r>
              <w:rPr>
                <w:rStyle w:val="VerbatimChar"/>
              </w:rPr>
              <w:t xml:space="preserve">privacy-policy.md</w:t>
            </w:r>
          </w:p>
        </w:tc>
      </w:tr>
      <w:tr>
        <w:tc>
          <w:tcPr/>
          <w:p>
            <w:pPr>
              <w:pStyle w:val="Compact"/>
            </w:pPr>
            <w:r>
              <w:rPr>
                <w:rStyle w:val="VerbatimChar"/>
              </w:rPr>
              <w:t xml:space="preserve">Use</w:t>
            </w:r>
          </w:p>
        </w:tc>
        <w:tc>
          <w:tcPr/>
          <w:p>
            <w:pPr>
              <w:pStyle w:val="Compact"/>
            </w:pPr>
            <w:r>
              <w:rPr>
                <w:rStyle w:val="VerbatimChar"/>
              </w:rPr>
              <w:t xml:space="preserve">hipaa-breach-notification.md</w:t>
            </w:r>
            <w:r>
              <w:t xml:space="preserve"> </w:t>
            </w:r>
            <w:r>
              <w:t xml:space="preserve">§II(d),</w:t>
            </w:r>
            <w:r>
              <w:t xml:space="preserve"> </w:t>
            </w:r>
            <w:r>
              <w:rPr>
                <w:rStyle w:val="VerbatimChar"/>
              </w:rPr>
              <w:t xml:space="preserve">privacy-policy.md</w:t>
            </w:r>
          </w:p>
        </w:tc>
      </w:tr>
      <w:tr>
        <w:tc>
          <w:tcPr/>
          <w:p>
            <w:pPr>
              <w:pStyle w:val="Compact"/>
            </w:pPr>
            <w:r>
              <w:rPr>
                <w:rStyle w:val="VerbatimChar"/>
              </w:rPr>
              <w:t xml:space="preserve">Unsecured PHI</w:t>
            </w:r>
          </w:p>
        </w:tc>
        <w:tc>
          <w:tcPr/>
          <w:p>
            <w:pPr>
              <w:pStyle w:val="Compact"/>
            </w:pPr>
            <w:r>
              <w:rPr>
                <w:rStyle w:val="VerbatimChar"/>
              </w:rPr>
              <w:t xml:space="preserve">hipaa-breach-notification.md</w:t>
            </w:r>
            <w:r>
              <w:t xml:space="preserve"> </w:t>
            </w:r>
            <w:r>
              <w:t xml:space="preserve">§II(c),</w:t>
            </w:r>
            <w:r>
              <w:t xml:space="preserve"> </w:t>
            </w:r>
            <w:r>
              <w:rPr>
                <w:rStyle w:val="VerbatimChar"/>
              </w:rPr>
              <w:t xml:space="preserve">privacy-policy.md</w:t>
            </w:r>
          </w:p>
        </w:tc>
      </w:tr>
      <w:tr>
        <w:tc>
          <w:tcPr/>
          <w:p>
            <w:pPr>
              <w:pStyle w:val="Compact"/>
            </w:pPr>
            <w:r>
              <w:rPr>
                <w:rStyle w:val="VerbatimChar"/>
              </w:rPr>
              <w:t xml:space="preserve">Designated Record Set</w:t>
            </w:r>
          </w:p>
        </w:tc>
        <w:tc>
          <w:tcPr/>
          <w:p>
            <w:pPr>
              <w:pStyle w:val="Compact"/>
            </w:pPr>
            <w:r>
              <w:rPr>
                <w:rStyle w:val="VerbatimChar"/>
              </w:rPr>
              <w:t xml:space="preserve">hipaa-definitions.md</w:t>
            </w:r>
            <w:r>
              <w:t xml:space="preserve">,</w:t>
            </w:r>
            <w:r>
              <w:t xml:space="preserve"> </w:t>
            </w:r>
            <w:r>
              <w:rPr>
                <w:rStyle w:val="VerbatimChar"/>
              </w:rPr>
              <w:t xml:space="preserve">hipaa-right-to-access.md</w:t>
            </w:r>
            <w:r>
              <w:t xml:space="preserve"> </w:t>
            </w:r>
            <w:r>
              <w:t xml:space="preserve">§II,</w:t>
            </w:r>
            <w:r>
              <w:t xml:space="preserve"> </w:t>
            </w:r>
            <w:r>
              <w:rPr>
                <w:rStyle w:val="VerbatimChar"/>
              </w:rPr>
              <w:t xml:space="preserve">hipaa-right-to-amend.md</w:t>
            </w:r>
            <w:r>
              <w:t xml:space="preserve"> </w:t>
            </w:r>
            <w:r>
              <w:t xml:space="preserve">§II</w:t>
            </w:r>
          </w:p>
        </w:tc>
      </w:tr>
      <w:tr>
        <w:tc>
          <w:tcPr/>
          <w:p>
            <w:pPr>
              <w:pStyle w:val="Compact"/>
            </w:pPr>
            <w:r>
              <w:rPr>
                <w:rStyle w:val="VerbatimChar"/>
              </w:rPr>
              <w:t xml:space="preserve">Health Care Operations</w:t>
            </w:r>
          </w:p>
        </w:tc>
        <w:tc>
          <w:tcPr/>
          <w:p>
            <w:pPr>
              <w:pStyle w:val="Compact"/>
            </w:pPr>
            <w:r>
              <w:rPr>
                <w:rStyle w:val="VerbatimChar"/>
              </w:rPr>
              <w:t xml:space="preserve">hipaa-definitions.md</w:t>
            </w:r>
            <w:r>
              <w:t xml:space="preserve">,</w:t>
            </w:r>
            <w:r>
              <w:t xml:space="preserve"> </w:t>
            </w:r>
            <w:r>
              <w:rPr>
                <w:rStyle w:val="VerbatimChar"/>
              </w:rPr>
              <w:t xml:space="preserve">hipaa-marketing.md</w:t>
            </w:r>
            <w:r>
              <w:t xml:space="preserve">,</w:t>
            </w:r>
            <w:r>
              <w:t xml:space="preserve"> </w:t>
            </w:r>
            <w:r>
              <w:rPr>
                <w:rStyle w:val="VerbatimChar"/>
              </w:rPr>
              <w:t xml:space="preserve">hipaa-de-identifying-phi.md</w:t>
            </w:r>
            <w:r>
              <w:t xml:space="preserve">,</w:t>
            </w:r>
            <w:r>
              <w:t xml:space="preserve"> </w:t>
            </w:r>
            <w:r>
              <w:rPr>
                <w:rStyle w:val="VerbatimChar"/>
              </w:rPr>
              <w:t xml:space="preserve">hipaa-phi-use-and-disclosure.md</w:t>
            </w:r>
          </w:p>
        </w:tc>
      </w:tr>
      <w:tr>
        <w:tc>
          <w:tcPr/>
          <w:p>
            <w:pPr>
              <w:pStyle w:val="Compact"/>
            </w:pPr>
            <w:r>
              <w:rPr>
                <w:rStyle w:val="VerbatimChar"/>
              </w:rPr>
              <w:t xml:space="preserve">Treatment</w:t>
            </w:r>
          </w:p>
        </w:tc>
        <w:tc>
          <w:tcPr/>
          <w:p>
            <w:pPr>
              <w:pStyle w:val="Compact"/>
            </w:pPr>
            <w:r>
              <w:rPr>
                <w:rStyle w:val="VerbatimChar"/>
              </w:rPr>
              <w:t xml:space="preserve">hipaa-definitions.md</w:t>
            </w:r>
            <w:r>
              <w:t xml:space="preserve">,</w:t>
            </w:r>
            <w:r>
              <w:t xml:space="preserve"> </w:t>
            </w:r>
            <w:r>
              <w:rPr>
                <w:rStyle w:val="VerbatimChar"/>
              </w:rPr>
              <w:t xml:space="preserve">hipaa-marketing.md</w:t>
            </w:r>
            <w:r>
              <w:t xml:space="preserve">,</w:t>
            </w:r>
            <w:r>
              <w:t xml:space="preserve"> </w:t>
            </w:r>
            <w:r>
              <w:rPr>
                <w:rStyle w:val="VerbatimChar"/>
              </w:rPr>
              <w:t xml:space="preserve">hipaa-minimum-necessary.md</w:t>
            </w:r>
            <w:r>
              <w:t xml:space="preserve">,</w:t>
            </w:r>
            <w:r>
              <w:t xml:space="preserve"> </w:t>
            </w:r>
            <w:r>
              <w:rPr>
                <w:rStyle w:val="VerbatimChar"/>
              </w:rPr>
              <w:t xml:space="preserve">hipaa-phi-use-and-disclosure.md</w:t>
            </w:r>
          </w:p>
        </w:tc>
      </w:tr>
      <w:tr>
        <w:tc>
          <w:tcPr/>
          <w:p>
            <w:pPr>
              <w:pStyle w:val="Compact"/>
            </w:pPr>
            <w:r>
              <w:rPr>
                <w:rStyle w:val="VerbatimChar"/>
              </w:rPr>
              <w:t xml:space="preserve">Workstation</w:t>
            </w:r>
          </w:p>
        </w:tc>
        <w:tc>
          <w:tcPr/>
          <w:p>
            <w:pPr>
              <w:pStyle w:val="Compact"/>
            </w:pPr>
            <w:r>
              <w:rPr>
                <w:rStyle w:val="VerbatimChar"/>
              </w:rPr>
              <w:t xml:space="preserve">hipaa-definitions.md</w:t>
            </w:r>
            <w:r>
              <w:t xml:space="preserve">,</w:t>
            </w:r>
            <w:r>
              <w:t xml:space="preserve"> </w:t>
            </w:r>
            <w:r>
              <w:rPr>
                <w:rStyle w:val="VerbatimChar"/>
              </w:rPr>
              <w:t xml:space="preserve">hipaa-workstation-use.md</w:t>
            </w:r>
            <w:r>
              <w:t xml:space="preserve"> </w:t>
            </w:r>
            <w:r>
              <w:t xml:space="preserve">(implicit),</w:t>
            </w:r>
            <w:r>
              <w:t xml:space="preserve"> </w:t>
            </w:r>
            <w:r>
              <w:rPr>
                <w:rStyle w:val="VerbatimChar"/>
              </w:rPr>
              <w:t xml:space="preserve">hipaa-safeguards.md</w:t>
            </w:r>
          </w:p>
        </w:tc>
      </w:tr>
      <w:tr>
        <w:tc>
          <w:tcPr/>
          <w:p>
            <w:pPr>
              <w:pStyle w:val="Compact"/>
            </w:pPr>
            <w:r>
              <w:rPr>
                <w:rStyle w:val="VerbatimChar"/>
              </w:rPr>
              <w:t xml:space="preserve">IT System</w:t>
            </w:r>
          </w:p>
        </w:tc>
        <w:tc>
          <w:tcPr/>
          <w:p>
            <w:pPr>
              <w:pStyle w:val="Compact"/>
            </w:pPr>
            <w:r>
              <w:rPr>
                <w:rStyle w:val="VerbatimChar"/>
              </w:rPr>
              <w:t xml:space="preserve">hipaa-definitions.md</w:t>
            </w:r>
            <w:r>
              <w:t xml:space="preserve">,</w:t>
            </w:r>
            <w:r>
              <w:t xml:space="preserve"> </w:t>
            </w:r>
            <w:r>
              <w:rPr>
                <w:rStyle w:val="VerbatimChar"/>
              </w:rPr>
              <w:t xml:space="preserve">hipaa-remote-access.md</w:t>
            </w:r>
            <w:r>
              <w:t xml:space="preserve"> </w:t>
            </w:r>
            <w:r>
              <w:t xml:space="preserve">(~22 references),</w:t>
            </w:r>
            <w:r>
              <w:t xml:space="preserve"> </w:t>
            </w:r>
            <w:r>
              <w:rPr>
                <w:rStyle w:val="VerbatimChar"/>
              </w:rPr>
              <w:t xml:space="preserve">hipaa-contingency-planning.md</w:t>
            </w:r>
            <w:r>
              <w:t xml:space="preserve">,</w:t>
            </w:r>
            <w:r>
              <w:t xml:space="preserve"> </w:t>
            </w:r>
            <w:r>
              <w:rPr>
                <w:rStyle w:val="VerbatimChar"/>
              </w:rPr>
              <w:t xml:space="preserve">hipaa-encryption.md</w:t>
            </w:r>
            <w:r>
              <w:t xml:space="preserve">,</w:t>
            </w:r>
            <w:r>
              <w:t xml:space="preserve"> </w:t>
            </w:r>
            <w:r>
              <w:rPr>
                <w:rStyle w:val="VerbatimChar"/>
              </w:rPr>
              <w:t xml:space="preserve">hipaa-security-incidents.md</w:t>
            </w:r>
            <w:r>
              <w:t xml:space="preserve">,</w:t>
            </w:r>
            <w:r>
              <w:t xml:space="preserve"> </w:t>
            </w:r>
            <w:r>
              <w:rPr>
                <w:rStyle w:val="VerbatimChar"/>
              </w:rPr>
              <w:t xml:space="preserve">hipaa-workstation-use.md</w:t>
            </w:r>
            <w:r>
              <w:t xml:space="preserve">,</w:t>
            </w:r>
            <w:r>
              <w:t xml:space="preserve"> </w:t>
            </w:r>
            <w:r>
              <w:rPr>
                <w:rStyle w:val="VerbatimChar"/>
              </w:rPr>
              <w:t xml:space="preserve">hipaa-risk-management.md</w:t>
            </w:r>
          </w:p>
        </w:tc>
      </w:tr>
      <w:tr>
        <w:tc>
          <w:tcPr/>
          <w:p>
            <w:pPr>
              <w:pStyle w:val="Compact"/>
            </w:pPr>
            <w:r>
              <w:rPr>
                <w:rStyle w:val="VerbatimChar"/>
              </w:rPr>
              <w:t xml:space="preserve">Marketing</w:t>
            </w:r>
          </w:p>
        </w:tc>
        <w:tc>
          <w:tcPr/>
          <w:p>
            <w:pPr>
              <w:pStyle w:val="Compact"/>
            </w:pPr>
            <w:r>
              <w:rPr>
                <w:rStyle w:val="VerbatimChar"/>
              </w:rPr>
              <w:t xml:space="preserve">hipaa-definitions.md</w:t>
            </w:r>
            <w:r>
              <w:t xml:space="preserve"> </w:t>
            </w:r>
            <w:r>
              <w:t xml:space="preserve">(NOT defined),</w:t>
            </w:r>
            <w:r>
              <w:t xml:space="preserve"> </w:t>
            </w:r>
            <w:r>
              <w:rPr>
                <w:rStyle w:val="VerbatimChar"/>
              </w:rPr>
              <w:t xml:space="preserve">hipaa-marketing.md</w:t>
            </w:r>
            <w:r>
              <w:t xml:space="preserve"> </w:t>
            </w:r>
            <w:r>
              <w:t xml:space="preserve">§II(a) (full def)</w:t>
            </w:r>
          </w:p>
        </w:tc>
      </w:tr>
      <w:tr>
        <w:tc>
          <w:tcPr/>
          <w:p>
            <w:pPr>
              <w:pStyle w:val="Compact"/>
            </w:pPr>
            <w:r>
              <w:rPr>
                <w:rStyle w:val="VerbatimChar"/>
              </w:rPr>
              <w:t xml:space="preserve">Financial Remuneration</w:t>
            </w:r>
          </w:p>
        </w:tc>
        <w:tc>
          <w:tcPr/>
          <w:p>
            <w:pPr>
              <w:pStyle w:val="Compact"/>
            </w:pPr>
            <w:r>
              <w:rPr>
                <w:rStyle w:val="VerbatimChar"/>
              </w:rPr>
              <w:t xml:space="preserve">hipaa-marketing.md</w:t>
            </w:r>
            <w:r>
              <w:t xml:space="preserve"> </w:t>
            </w:r>
            <w:r>
              <w:t xml:space="preserve">§II(b) only</w:t>
            </w:r>
          </w:p>
        </w:tc>
      </w:tr>
      <w:tr>
        <w:tc>
          <w:tcPr/>
          <w:p>
            <w:pPr>
              <w:pStyle w:val="Compact"/>
            </w:pPr>
            <w:r>
              <w:rPr>
                <w:rStyle w:val="VerbatimChar"/>
              </w:rPr>
              <w:t xml:space="preserve">Company Computer Network</w:t>
            </w:r>
          </w:p>
        </w:tc>
        <w:tc>
          <w:tcPr/>
          <w:p>
            <w:pPr>
              <w:pStyle w:val="Compact"/>
            </w:pPr>
            <w:r>
              <w:rPr>
                <w:rStyle w:val="VerbatimChar"/>
              </w:rPr>
              <w:t xml:space="preserve">hipaa-definitions.md</w:t>
            </w:r>
            <w:r>
              <w:t xml:space="preserve">,</w:t>
            </w:r>
            <w:r>
              <w:t xml:space="preserve"> </w:t>
            </w:r>
            <w:r>
              <w:rPr>
                <w:rStyle w:val="VerbatimChar"/>
              </w:rPr>
              <w:t xml:space="preserve">hipaa-passwords.md</w:t>
            </w:r>
            <w:r>
              <w:t xml:space="preserve">,</w:t>
            </w:r>
            <w:r>
              <w:t xml:space="preserve"> </w:t>
            </w:r>
            <w:r>
              <w:rPr>
                <w:rStyle w:val="VerbatimChar"/>
              </w:rPr>
              <w:t xml:space="preserve">hipaa-safeguards.md</w:t>
            </w:r>
            <w:r>
              <w:t xml:space="preserve">,</w:t>
            </w:r>
            <w:r>
              <w:t xml:space="preserve"> </w:t>
            </w:r>
            <w:r>
              <w:rPr>
                <w:rStyle w:val="VerbatimChar"/>
              </w:rPr>
              <w:t xml:space="preserve">privacy-policy.md</w:t>
            </w:r>
            <w:r>
              <w:t xml:space="preserve"> </w:t>
            </w:r>
            <w:r>
              <w:t xml:space="preserve">Device section</w:t>
            </w:r>
          </w:p>
        </w:tc>
      </w:tr>
    </w:tbl>
    <w:bookmarkEnd w:id="19"/>
    <w:bookmarkStart w:id="20" w:name="Xfba80c3c68451d690e009ac49f9608cec42d50b"/>
    <w:p>
      <w:pPr>
        <w:pStyle w:val="Heading3"/>
      </w:pPr>
      <w:r>
        <w:t xml:space="preserve">1.7 NIST / FIPS encryption standard reference (3 files — and material drift)</w:t>
      </w:r>
    </w:p>
    <w:p>
      <w:pPr>
        <w:pStyle w:val="Compact"/>
        <w:numPr>
          <w:ilvl w:val="0"/>
          <w:numId w:val="1003"/>
        </w:numPr>
      </w:pPr>
      <w:r>
        <w:rPr>
          <w:rStyle w:val="VerbatimChar"/>
        </w:rPr>
        <w:t xml:space="preserve">hipaa-encryption.md</w:t>
      </w:r>
      <w:r>
        <w:t xml:space="preserve"> </w:t>
      </w:r>
      <w:r>
        <w:t xml:space="preserve">§III(c)(i) — covers</w:t>
      </w:r>
      <w:r>
        <w:t xml:space="preserve"> </w:t>
      </w:r>
      <w:r>
        <w:rPr>
          <w:b/>
          <w:bCs/>
        </w:rPr>
        <w:t xml:space="preserve">data in motion</w:t>
      </w:r>
      <w:r>
        <w:t xml:space="preserve"> </w:t>
      </w:r>
      <w:r>
        <w:t xml:space="preserve">only (FIPS 140-2, NIST SP 800-52, 800-77, 800-113).</w:t>
      </w:r>
    </w:p>
    <w:p>
      <w:pPr>
        <w:pStyle w:val="Compact"/>
        <w:numPr>
          <w:ilvl w:val="0"/>
          <w:numId w:val="1003"/>
        </w:numPr>
      </w:pPr>
      <w:r>
        <w:rPr>
          <w:rStyle w:val="VerbatimChar"/>
        </w:rPr>
        <w:t xml:space="preserve">privacy-policy.md</w:t>
      </w:r>
      <w:r>
        <w:t xml:space="preserve"> </w:t>
      </w:r>
      <w:r>
        <w:t xml:space="preserve">Device Management section (lines ~599–602) — covers</w:t>
      </w:r>
      <w:r>
        <w:t xml:space="preserve"> </w:t>
      </w:r>
      <w:r>
        <w:rPr>
          <w:b/>
          <w:bCs/>
        </w:rPr>
        <w:t xml:space="preserve">both data at rest</w:t>
      </w:r>
      <w:r>
        <w:t xml:space="preserve"> </w:t>
      </w:r>
      <w:r>
        <w:t xml:space="preserve">(NIST SP 800-111)</w:t>
      </w:r>
      <w:r>
        <w:t xml:space="preserve"> </w:t>
      </w:r>
      <w:r>
        <w:rPr>
          <w:b/>
          <w:bCs/>
        </w:rPr>
        <w:t xml:space="preserve">and data in motion</w:t>
      </w:r>
      <w:r>
        <w:t xml:space="preserve"> </w:t>
      </w:r>
      <w:r>
        <w:t xml:space="preserve">(same set as above).</w:t>
      </w:r>
    </w:p>
    <w:p>
      <w:pPr>
        <w:pStyle w:val="Compact"/>
        <w:numPr>
          <w:ilvl w:val="0"/>
          <w:numId w:val="1003"/>
        </w:numPr>
      </w:pPr>
      <w:r>
        <w:rPr>
          <w:rStyle w:val="VerbatimChar"/>
        </w:rPr>
        <w:t xml:space="preserve">information-security-framework.md</w:t>
      </w:r>
      <w:r>
        <w:t xml:space="preserve"> </w:t>
      </w:r>
      <w:r>
        <w:t xml:space="preserve">§5 — says</w:t>
      </w:r>
      <w:r>
        <w:t xml:space="preserve"> </w:t>
      </w:r>
      <w:r>
        <w:t xml:space="preserve">“All PHI transmitted over open networks is encrypted. Databases hosted via Aptible are encrypted at rest.”</w:t>
      </w:r>
      <w:r>
        <w:t xml:space="preserve"> </w:t>
      </w:r>
      <w:r>
        <w:t xml:space="preserve">(no NIST citation).</w:t>
      </w:r>
    </w:p>
    <w:p>
      <w:pPr>
        <w:pStyle w:val="FirstParagraph"/>
      </w:pPr>
      <w:r>
        <w:rPr>
          <w:b/>
          <w:bCs/>
        </w:rPr>
        <w:t xml:space="preserve">Critical:</w:t>
      </w:r>
      <w:r>
        <w:t xml:space="preserve"> </w:t>
      </w:r>
      <w:r>
        <w:t xml:space="preserve">the standalone Encryption policy is silent on data-at-rest standards. The only documented NIST 800-111 reference is inside</w:t>
      </w:r>
      <w:r>
        <w:t xml:space="preserve"> </w:t>
      </w:r>
      <w:r>
        <w:rPr>
          <w:rStyle w:val="VerbatimChar"/>
        </w:rPr>
        <w:t xml:space="preserve">privacy-policy.md</w:t>
      </w:r>
      <w:r>
        <w:t xml:space="preserve">. This is exactly the kind of content that must not be lost in consolidation.</w:t>
      </w:r>
    </w:p>
    <w:bookmarkEnd w:id="20"/>
    <w:bookmarkStart w:id="21" w:name="X087f793de51cc9c8477731158ec130faefcd081"/>
    <w:p>
      <w:pPr>
        <w:pStyle w:val="Heading3"/>
      </w:pPr>
      <w:r>
        <w:t xml:space="preserve">1.8 The</w:t>
      </w:r>
      <w:r>
        <w:t xml:space="preserve"> </w:t>
      </w:r>
      <w:r>
        <w:t xml:space="preserve">“Workstations / iPads / iPhones”</w:t>
      </w:r>
      <w:r>
        <w:t xml:space="preserve"> </w:t>
      </w:r>
      <w:r>
        <w:t xml:space="preserve">device-list (4 files)</w:t>
      </w:r>
    </w:p>
    <w:p>
      <w:pPr>
        <w:pStyle w:val="FirstParagraph"/>
      </w:pPr>
      <w:r>
        <w:t xml:space="preserve">Nearly identical lists of which device types are in scope:</w:t>
      </w:r>
      <w:r>
        <w:t xml:space="preserve"> </w:t>
      </w:r>
      <w:r>
        <w:t xml:space="preserve">-</w:t>
      </w:r>
      <w:r>
        <w:t xml:space="preserve"> </w:t>
      </w:r>
      <w:r>
        <w:rPr>
          <w:rStyle w:val="VerbatimChar"/>
        </w:rPr>
        <w:t xml:space="preserve">hipaa-workstation-use.md</w:t>
      </w:r>
      <w:r>
        <w:t xml:space="preserve"> </w:t>
      </w:r>
      <w:r>
        <w:t xml:space="preserve">§II(b)</w:t>
      </w:r>
      <w:r>
        <w:t xml:space="preserve"> </w:t>
      </w:r>
      <w:r>
        <w:t xml:space="preserve">-</w:t>
      </w:r>
      <w:r>
        <w:t xml:space="preserve"> </w:t>
      </w:r>
      <w:r>
        <w:rPr>
          <w:rStyle w:val="VerbatimChar"/>
        </w:rPr>
        <w:t xml:space="preserve">hipaa-remote-access.md</w:t>
      </w:r>
      <w:r>
        <w:t xml:space="preserve"> </w:t>
      </w:r>
      <w:r>
        <w:t xml:space="preserve">§II(a)</w:t>
      </w:r>
      <w:r>
        <w:t xml:space="preserve"> </w:t>
      </w:r>
      <w:r>
        <w:t xml:space="preserve">-</w:t>
      </w:r>
      <w:r>
        <w:t xml:space="preserve"> </w:t>
      </w:r>
      <w:r>
        <w:rPr>
          <w:rStyle w:val="VerbatimChar"/>
        </w:rPr>
        <w:t xml:space="preserve">hipaa-passwords.md</w:t>
      </w:r>
      <w:r>
        <w:t xml:space="preserve"> </w:t>
      </w:r>
      <w:r>
        <w:t xml:space="preserve">§III(b) (</w:t>
      </w:r>
      <w:r>
        <w:t xml:space="preserve">“Mobile Passcode Construction”</w:t>
      </w:r>
      <w:r>
        <w:t xml:space="preserve">)</w:t>
      </w:r>
      <w:r>
        <w:t xml:space="preserve"> </w:t>
      </w:r>
      <w:r>
        <w:t xml:space="preserve">-</w:t>
      </w:r>
      <w:r>
        <w:t xml:space="preserve"> </w:t>
      </w:r>
      <w:r>
        <w:rPr>
          <w:rStyle w:val="VerbatimChar"/>
        </w:rPr>
        <w:t xml:space="preserve">hipaa-safeguards.md</w:t>
      </w:r>
      <w:r>
        <w:t xml:space="preserve"> </w:t>
      </w:r>
      <w:r>
        <w:t xml:space="preserve">§III(b)(xi)</w:t>
      </w:r>
    </w:p>
    <w:bookmarkEnd w:id="21"/>
    <w:bookmarkStart w:id="22" w:name="X4a84abb0573ef502cd46df9accdade8b9f85cc7"/>
    <w:p>
      <w:pPr>
        <w:pStyle w:val="Heading3"/>
      </w:pPr>
      <w:r>
        <w:t xml:space="preserve">1.9 Password / access-control cross-references (5 files)</w:t>
      </w:r>
    </w:p>
    <w:p>
      <w:pPr>
        <w:pStyle w:val="FirstParagraph"/>
      </w:pPr>
      <w:r>
        <w:t xml:space="preserve">The phrase</w:t>
      </w:r>
      <w:r>
        <w:t xml:space="preserve"> </w:t>
      </w:r>
      <w:r>
        <w:t xml:space="preserve">“must comply with the Company Password Management Policy”</w:t>
      </w:r>
      <w:r>
        <w:t xml:space="preserve"> </w:t>
      </w:r>
      <w:r>
        <w:t xml:space="preserve">or equivalent:</w:t>
      </w:r>
      <w:r>
        <w:t xml:space="preserve"> </w:t>
      </w:r>
      <w:r>
        <w:t xml:space="preserve">-</w:t>
      </w:r>
      <w:r>
        <w:t xml:space="preserve"> </w:t>
      </w:r>
      <w:r>
        <w:rPr>
          <w:rStyle w:val="VerbatimChar"/>
        </w:rPr>
        <w:t xml:space="preserve">hipaa-workstation-use.md</w:t>
      </w:r>
      <w:r>
        <w:t xml:space="preserve"> </w:t>
      </w:r>
      <w:r>
        <w:t xml:space="preserve">§III(c)(iii)</w:t>
      </w:r>
      <w:r>
        <w:t xml:space="preserve"> </w:t>
      </w:r>
      <w:r>
        <w:t xml:space="preserve">-</w:t>
      </w:r>
      <w:r>
        <w:t xml:space="preserve"> </w:t>
      </w:r>
      <w:r>
        <w:rPr>
          <w:rStyle w:val="VerbatimChar"/>
        </w:rPr>
        <w:t xml:space="preserve">hipaa-remote-access.md</w:t>
      </w:r>
      <w:r>
        <w:t xml:space="preserve"> </w:t>
      </w:r>
      <w:r>
        <w:t xml:space="preserve">§III(b)(ii) —</w:t>
      </w:r>
      <w:r>
        <w:t xml:space="preserve"> </w:t>
      </w:r>
      <w:r>
        <w:t xml:space="preserve">“See Workstation Use, Encryption, and Password Management policies.”</w:t>
      </w:r>
      <w:r>
        <w:t xml:space="preserve"> </w:t>
      </w:r>
      <w:r>
        <w:t xml:space="preserve">-</w:t>
      </w:r>
      <w:r>
        <w:t xml:space="preserve"> </w:t>
      </w:r>
      <w:r>
        <w:rPr>
          <w:rStyle w:val="VerbatimChar"/>
        </w:rPr>
        <w:t xml:space="preserve">hipaa-safeguards.md</w:t>
      </w:r>
      <w:r>
        <w:t xml:space="preserve"> </w:t>
      </w:r>
      <w:r>
        <w:t xml:space="preserve">§III(b)(x) bullet 3</w:t>
      </w:r>
      <w:r>
        <w:t xml:space="preserve"> </w:t>
      </w:r>
      <w:r>
        <w:t xml:space="preserve">-</w:t>
      </w:r>
      <w:r>
        <w:t xml:space="preserve"> </w:t>
      </w:r>
      <w:r>
        <w:rPr>
          <w:rStyle w:val="VerbatimChar"/>
        </w:rPr>
        <w:t xml:space="preserve">hipaa-encryption.md</w:t>
      </w:r>
      <w:r>
        <w:t xml:space="preserve"> </w:t>
      </w:r>
      <w:r>
        <w:t xml:space="preserve">§III(a)(i) —</w:t>
      </w:r>
      <w:r>
        <w:t xml:space="preserve"> </w:t>
      </w:r>
      <w:r>
        <w:t xml:space="preserve">“the same precautions in protecting encryption keys from disclosure as is required for passwords”</w:t>
      </w:r>
      <w:r>
        <w:t xml:space="preserve"> </w:t>
      </w:r>
      <w:r>
        <w:t xml:space="preserve">-</w:t>
      </w:r>
      <w:r>
        <w:t xml:space="preserve"> </w:t>
      </w:r>
      <w:r>
        <w:rPr>
          <w:rStyle w:val="VerbatimChar"/>
        </w:rPr>
        <w:t xml:space="preserve">sdlc-and-asset-lifecycle.md</w:t>
      </w:r>
      <w:r>
        <w:t xml:space="preserve"> </w:t>
      </w:r>
      <w:r>
        <w:t xml:space="preserve">§III(b)</w:t>
      </w:r>
    </w:p>
    <w:bookmarkEnd w:id="22"/>
    <w:bookmarkStart w:id="23" w:name="Xcf9b60e99216f6e4380ca2fbcea8c072ef60df5"/>
    <w:p>
      <w:pPr>
        <w:pStyle w:val="Heading3"/>
      </w:pPr>
      <w:r>
        <w:t xml:space="preserve">1.10 Termination → deactivate access (4 files, parallel timing)</w:t>
      </w:r>
    </w:p>
    <w:p>
      <w:pPr>
        <w:pStyle w:val="Compact"/>
        <w:numPr>
          <w:ilvl w:val="0"/>
          <w:numId w:val="1004"/>
        </w:numPr>
      </w:pPr>
      <w:r>
        <w:rPr>
          <w:rStyle w:val="VerbatimChar"/>
        </w:rPr>
        <w:t xml:space="preserve">hipaa-passwords.md</w:t>
      </w:r>
      <w:r>
        <w:t xml:space="preserve"> </w:t>
      </w:r>
      <w:r>
        <w:t xml:space="preserve">§III(d)(ii) —</w:t>
      </w:r>
      <w:r>
        <w:t xml:space="preserve"> </w:t>
      </w:r>
      <w:r>
        <w:t xml:space="preserve">“immediately deactivated … upon … termination”</w:t>
      </w:r>
    </w:p>
    <w:p>
      <w:pPr>
        <w:pStyle w:val="Compact"/>
        <w:numPr>
          <w:ilvl w:val="0"/>
          <w:numId w:val="1004"/>
        </w:numPr>
      </w:pPr>
      <w:r>
        <w:rPr>
          <w:rStyle w:val="VerbatimChar"/>
        </w:rPr>
        <w:t xml:space="preserve">hipaa-remote-access.md</w:t>
      </w:r>
      <w:r>
        <w:t xml:space="preserve"> </w:t>
      </w:r>
      <w:r>
        <w:t xml:space="preserve">§III(d) —</w:t>
      </w:r>
      <w:r>
        <w:t xml:space="preserve"> </w:t>
      </w:r>
      <w:r>
        <w:t xml:space="preserve">“immediately terminated … upon termination of employment”</w:t>
      </w:r>
    </w:p>
    <w:p>
      <w:pPr>
        <w:pStyle w:val="Compact"/>
        <w:numPr>
          <w:ilvl w:val="0"/>
          <w:numId w:val="1004"/>
        </w:numPr>
      </w:pPr>
      <w:r>
        <w:rPr>
          <w:rStyle w:val="VerbatimChar"/>
        </w:rPr>
        <w:t xml:space="preserve">hipaa-encryption.md</w:t>
      </w:r>
      <w:r>
        <w:t xml:space="preserve"> </w:t>
      </w:r>
      <w:r>
        <w:t xml:space="preserve">§III(b)(ii) —</w:t>
      </w:r>
      <w:r>
        <w:t xml:space="preserve"> </w:t>
      </w:r>
      <w:r>
        <w:t xml:space="preserve">“immediately deactivate and archive encryption keys upon notification by Human Resources of the termination”</w:t>
      </w:r>
    </w:p>
    <w:p>
      <w:pPr>
        <w:pStyle w:val="Compact"/>
        <w:numPr>
          <w:ilvl w:val="0"/>
          <w:numId w:val="1004"/>
        </w:numPr>
      </w:pPr>
      <w:r>
        <w:rPr>
          <w:rStyle w:val="VerbatimChar"/>
        </w:rPr>
        <w:t xml:space="preserve">README.md</w:t>
      </w:r>
      <w:r>
        <w:t xml:space="preserve"> </w:t>
      </w:r>
      <w:r>
        <w:t xml:space="preserve">Event-driven section has 3 separate rows for the same trigger</w:t>
      </w:r>
    </w:p>
    <w:bookmarkEnd w:id="23"/>
    <w:bookmarkStart w:id="24" w:name="annual-report-to-ceo-3-files"/>
    <w:p>
      <w:pPr>
        <w:pStyle w:val="Heading3"/>
      </w:pPr>
      <w:r>
        <w:t xml:space="preserve">1.11 Annual report to CEO (3 files)</w:t>
      </w:r>
    </w:p>
    <w:p>
      <w:pPr>
        <w:pStyle w:val="Compact"/>
        <w:numPr>
          <w:ilvl w:val="0"/>
          <w:numId w:val="1005"/>
        </w:numPr>
      </w:pPr>
      <w:r>
        <w:rPr>
          <w:rStyle w:val="VerbatimChar"/>
        </w:rPr>
        <w:t xml:space="preserve">hipaa-security-incidents.md</w:t>
      </w:r>
      <w:r>
        <w:t xml:space="preserve"> </w:t>
      </w:r>
      <w:r>
        <w:t xml:space="preserve">§III(e) (</w:t>
      </w:r>
      <w:r>
        <w:t xml:space="preserve">“Annual Report”</w:t>
      </w:r>
      <w:r>
        <w:t xml:space="preserve">)</w:t>
      </w:r>
    </w:p>
    <w:p>
      <w:pPr>
        <w:pStyle w:val="Compact"/>
        <w:numPr>
          <w:ilvl w:val="0"/>
          <w:numId w:val="1005"/>
        </w:numPr>
      </w:pPr>
      <w:r>
        <w:rPr>
          <w:rStyle w:val="VerbatimChar"/>
        </w:rPr>
        <w:t xml:space="preserve">hipaa-risk-management.md</w:t>
      </w:r>
      <w:r>
        <w:t xml:space="preserve"> </w:t>
      </w:r>
      <w:r>
        <w:t xml:space="preserve">§II(c) (report to Risk Review Committee / Board)</w:t>
      </w:r>
    </w:p>
    <w:p>
      <w:pPr>
        <w:pStyle w:val="Compact"/>
        <w:numPr>
          <w:ilvl w:val="0"/>
          <w:numId w:val="1005"/>
        </w:numPr>
      </w:pPr>
      <w:r>
        <w:rPr>
          <w:rStyle w:val="VerbatimChar"/>
        </w:rPr>
        <w:t xml:space="preserve">README.md</w:t>
      </w:r>
      <w:r>
        <w:t xml:space="preserve"> </w:t>
      </w:r>
      <w:r>
        <w:t xml:space="preserve">Annual section + Responsibility Matrix</w:t>
      </w:r>
      <w:r>
        <w:t xml:space="preserve"> </w:t>
      </w:r>
      <w:r>
        <w:t xml:space="preserve">“Annual report to CEO”</w:t>
      </w:r>
      <w:r>
        <w:t xml:space="preserve"> </w:t>
      </w:r>
      <w:r>
        <w:t xml:space="preserve">row</w:t>
      </w:r>
    </w:p>
    <w:bookmarkEnd w:id="24"/>
    <w:bookmarkStart w:id="25" w:name="baa-cross-references-5-files"/>
    <w:p>
      <w:pPr>
        <w:pStyle w:val="Heading3"/>
      </w:pPr>
      <w:r>
        <w:t xml:space="preserve">1.12 BAA cross-references (5 files)</w:t>
      </w:r>
    </w:p>
    <w:p>
      <w:pPr>
        <w:pStyle w:val="FirstParagraph"/>
      </w:pPr>
      <w:r>
        <w:t xml:space="preserve">The requirement to execute a BAA before granting PHI access:</w:t>
      </w:r>
      <w:r>
        <w:t xml:space="preserve"> </w:t>
      </w:r>
      <w:r>
        <w:t xml:space="preserve">-</w:t>
      </w:r>
      <w:r>
        <w:t xml:space="preserve"> </w:t>
      </w:r>
      <w:r>
        <w:rPr>
          <w:rStyle w:val="VerbatimChar"/>
        </w:rPr>
        <w:t xml:space="preserve">hipaa-business-associate-agreement.md</w:t>
      </w:r>
      <w:r>
        <w:t xml:space="preserve"> </w:t>
      </w:r>
      <w:r>
        <w:t xml:space="preserve">(the canonical source)</w:t>
      </w:r>
      <w:r>
        <w:t xml:space="preserve"> </w:t>
      </w:r>
      <w:r>
        <w:t xml:space="preserve">-</w:t>
      </w:r>
      <w:r>
        <w:t xml:space="preserve"> </w:t>
      </w:r>
      <w:r>
        <w:rPr>
          <w:rStyle w:val="VerbatimChar"/>
        </w:rPr>
        <w:t xml:space="preserve">hipaa-paper-documents.md</w:t>
      </w:r>
      <w:r>
        <w:t xml:space="preserve"> </w:t>
      </w:r>
      <w:r>
        <w:t xml:space="preserve">§III(c)(iv) bullet 1 (for shredding vendors)</w:t>
      </w:r>
      <w:r>
        <w:t xml:space="preserve"> </w:t>
      </w:r>
      <w:r>
        <w:t xml:space="preserve">-</w:t>
      </w:r>
      <w:r>
        <w:t xml:space="preserve"> </w:t>
      </w:r>
      <w:r>
        <w:rPr>
          <w:rStyle w:val="VerbatimChar"/>
        </w:rPr>
        <w:t xml:space="preserve">hipaa-marketing.md</w:t>
      </w:r>
      <w:r>
        <w:t xml:space="preserve"> </w:t>
      </w:r>
      <w:r>
        <w:t xml:space="preserve">§IV(b) note (for marketing vendors)</w:t>
      </w:r>
      <w:r>
        <w:t xml:space="preserve"> </w:t>
      </w:r>
      <w:r>
        <w:t xml:space="preserve">-</w:t>
      </w:r>
      <w:r>
        <w:t xml:space="preserve"> </w:t>
      </w:r>
      <w:r>
        <w:rPr>
          <w:rStyle w:val="VerbatimChar"/>
        </w:rPr>
        <w:t xml:space="preserve">information-security-framework.md</w:t>
      </w:r>
      <w:r>
        <w:t xml:space="preserve"> </w:t>
      </w:r>
      <w:r>
        <w:t xml:space="preserve">§11</w:t>
      </w:r>
      <w:r>
        <w:t xml:space="preserve"> </w:t>
      </w:r>
      <w:r>
        <w:t xml:space="preserve">-</w:t>
      </w:r>
      <w:r>
        <w:t xml:space="preserve"> </w:t>
      </w:r>
      <w:r>
        <w:rPr>
          <w:rStyle w:val="VerbatimChar"/>
        </w:rPr>
        <w:t xml:space="preserve">sdlc-and-asset-lifecycle.md</w:t>
      </w:r>
      <w:r>
        <w:t xml:space="preserve"> </w:t>
      </w:r>
      <w:r>
        <w:t xml:space="preserve">§III(a)</w:t>
      </w:r>
      <w:r>
        <w:t xml:space="preserve"> </w:t>
      </w:r>
      <w:r>
        <w:t xml:space="preserve">-</w:t>
      </w:r>
      <w:r>
        <w:t xml:space="preserve"> </w:t>
      </w:r>
      <w:r>
        <w:rPr>
          <w:rStyle w:val="VerbatimChar"/>
        </w:rPr>
        <w:t xml:space="preserve">README.md</w:t>
      </w:r>
      <w:r>
        <w:t xml:space="preserve"> </w:t>
      </w:r>
      <w:r>
        <w:t xml:space="preserve">Event-driven section</w:t>
      </w:r>
    </w:p>
    <w:bookmarkEnd w:id="25"/>
    <w:bookmarkStart w:id="26" w:name="X737d980b8df4dfc44fc0ede371992af5e1eed5b"/>
    <w:p>
      <w:pPr>
        <w:pStyle w:val="Heading3"/>
      </w:pPr>
      <w:r>
        <w:t xml:space="preserve">1.13 Reference to</w:t>
      </w:r>
      <w:r>
        <w:t xml:space="preserve"> </w:t>
      </w:r>
      <w:r>
        <w:t xml:space="preserve">“Information Blocking Compliance Policy”</w:t>
      </w:r>
      <w:r>
        <w:t xml:space="preserve"> </w:t>
      </w:r>
      <w:r>
        <w:t xml:space="preserve">(broken)</w:t>
      </w:r>
    </w:p>
    <w:p>
      <w:pPr>
        <w:pStyle w:val="Compact"/>
        <w:numPr>
          <w:ilvl w:val="0"/>
          <w:numId w:val="1006"/>
        </w:numPr>
      </w:pPr>
      <w:r>
        <w:rPr>
          <w:rStyle w:val="VerbatimChar"/>
        </w:rPr>
        <w:t xml:space="preserve">hipaa-right-to-access.md</w:t>
      </w:r>
      <w:r>
        <w:t xml:space="preserve"> </w:t>
      </w:r>
      <w:r>
        <w:t xml:space="preserve">§III(a)(iv) and elsewhere references</w:t>
      </w:r>
      <w:r>
        <w:t xml:space="preserve"> </w:t>
      </w:r>
      <w:r>
        <w:t xml:space="preserve">“Information Blocking Compliance Policy”</w:t>
      </w:r>
      <w:r>
        <w:t xml:space="preserve"> </w:t>
      </w:r>
      <w:r>
        <w:t xml:space="preserve">and the term</w:t>
      </w:r>
      <w:r>
        <w:t xml:space="preserve"> </w:t>
      </w:r>
      <w:r>
        <w:rPr>
          <w:rStyle w:val="VerbatimChar"/>
        </w:rPr>
        <w:t xml:space="preserve">Electronic Health Information</w:t>
      </w:r>
      <w:r>
        <w:t xml:space="preserve"> </w:t>
      </w:r>
      <w:r>
        <w:t xml:space="preserve">/</w:t>
      </w:r>
      <w:r>
        <w:t xml:space="preserve"> </w:t>
      </w:r>
      <w:r>
        <w:rPr>
          <w:rStyle w:val="VerbatimChar"/>
        </w:rPr>
        <w:t xml:space="preserve">EHI</w:t>
      </w:r>
      <w:r>
        <w:t xml:space="preserve"> </w:t>
      </w:r>
      <w:r>
        <w:t xml:space="preserve">as if defined elsewhere.</w:t>
      </w:r>
    </w:p>
    <w:p>
      <w:pPr>
        <w:pStyle w:val="Compact"/>
        <w:numPr>
          <w:ilvl w:val="0"/>
          <w:numId w:val="1006"/>
        </w:numPr>
      </w:pPr>
      <w:r>
        <w:rPr>
          <w:rStyle w:val="VerbatimChar"/>
        </w:rPr>
        <w:t xml:space="preserve">hipaa-definitions.md</w:t>
      </w:r>
      <w:r>
        <w:t xml:space="preserve"> </w:t>
      </w:r>
      <w:r>
        <w:t xml:space="preserve">§II(j) defines</w:t>
      </w:r>
      <w:r>
        <w:t xml:space="preserve"> </w:t>
      </w:r>
      <w:r>
        <w:rPr>
          <w:rStyle w:val="VerbatimChar"/>
        </w:rPr>
        <w:t xml:space="preserve">Information Blocking Rule</w:t>
      </w:r>
      <w:r>
        <w:t xml:space="preserve"> </w:t>
      </w:r>
      <w:r>
        <w:t xml:space="preserve">but not</w:t>
      </w:r>
      <w:r>
        <w:t xml:space="preserve"> </w:t>
      </w:r>
      <w:r>
        <w:rPr>
          <w:rStyle w:val="VerbatimChar"/>
        </w:rPr>
        <w:t xml:space="preserve">EHI</w:t>
      </w:r>
      <w:r>
        <w:t xml:space="preserve">.</w:t>
      </w:r>
    </w:p>
    <w:p>
      <w:pPr>
        <w:pStyle w:val="Compact"/>
        <w:numPr>
          <w:ilvl w:val="0"/>
          <w:numId w:val="1006"/>
        </w:numPr>
      </w:pPr>
      <w:r>
        <w:rPr>
          <w:b/>
          <w:bCs/>
        </w:rPr>
        <w:t xml:space="preserve">No</w:t>
      </w:r>
      <w:r>
        <w:rPr>
          <w:b/>
          <w:bCs/>
        </w:rPr>
        <w:t xml:space="preserve"> </w:t>
      </w:r>
      <w:r>
        <w:rPr>
          <w:b/>
          <w:bCs/>
        </w:rPr>
        <w:t xml:space="preserve">“Information Blocking Compliance Policy”</w:t>
      </w:r>
      <w:r>
        <w:rPr>
          <w:b/>
          <w:bCs/>
        </w:rPr>
        <w:t xml:space="preserve"> </w:t>
      </w:r>
      <w:r>
        <w:rPr>
          <w:b/>
          <w:bCs/>
        </w:rPr>
        <w:t xml:space="preserve">exists in this repo</w:t>
      </w:r>
      <w:r>
        <w:t xml:space="preserve"> </w:t>
      </w:r>
      <w:r>
        <w:t xml:space="preserve">— this is a dangling reference that will need to be either resolved (write the policy) or rewritten (inline the relevant content) during consolidation.</w:t>
      </w:r>
    </w:p>
    <w:bookmarkEnd w:id="26"/>
    <w:bookmarkStart w:id="27" w:name="other-dangling-cross-references"/>
    <w:p>
      <w:pPr>
        <w:pStyle w:val="Heading3"/>
      </w:pPr>
      <w:r>
        <w:t xml:space="preserve">1.14 Other dangling cross-references</w:t>
      </w:r>
    </w:p>
    <w:p>
      <w:pPr>
        <w:pStyle w:val="Compact"/>
        <w:numPr>
          <w:ilvl w:val="0"/>
          <w:numId w:val="1007"/>
        </w:numPr>
      </w:pPr>
      <w:r>
        <w:t xml:space="preserve">“Company Internal Investigations &amp; Corrective Action Policy”</w:t>
      </w:r>
      <w:r>
        <w:t xml:space="preserve"> </w:t>
      </w:r>
      <w:r>
        <w:t xml:space="preserve">— referenced in</w:t>
      </w:r>
      <w:r>
        <w:t xml:space="preserve"> </w:t>
      </w:r>
      <w:r>
        <w:rPr>
          <w:rStyle w:val="VerbatimChar"/>
        </w:rPr>
        <w:t xml:space="preserve">hipaa-breach-notification.md</w:t>
      </w:r>
      <w:r>
        <w:t xml:space="preserve"> </w:t>
      </w:r>
      <w:r>
        <w:t xml:space="preserve">§IV(g)(i) and (iii).</w:t>
      </w:r>
      <w:r>
        <w:t xml:space="preserve"> </w:t>
      </w:r>
      <w:r>
        <w:rPr>
          <w:b/>
          <w:bCs/>
        </w:rPr>
        <w:t xml:space="preserve">Not in repo.</w:t>
      </w:r>
    </w:p>
    <w:p>
      <w:pPr>
        <w:pStyle w:val="Compact"/>
        <w:numPr>
          <w:ilvl w:val="0"/>
          <w:numId w:val="1007"/>
        </w:numPr>
      </w:pPr>
      <w:r>
        <w:t xml:space="preserve">“Company Device Management and Media Management/Inventory Policy”</w:t>
      </w:r>
      <w:r>
        <w:t xml:space="preserve"> </w:t>
      </w:r>
      <w:r>
        <w:t xml:space="preserve">— referenced in</w:t>
      </w:r>
      <w:r>
        <w:t xml:space="preserve"> </w:t>
      </w:r>
      <w:r>
        <w:rPr>
          <w:rStyle w:val="VerbatimChar"/>
        </w:rPr>
        <w:t xml:space="preserve">hipaa-remote-access.md</w:t>
      </w:r>
      <w:r>
        <w:t xml:space="preserve"> </w:t>
      </w:r>
      <w:r>
        <w:t xml:space="preserve">§III(c) and</w:t>
      </w:r>
      <w:r>
        <w:t xml:space="preserve"> </w:t>
      </w:r>
      <w:r>
        <w:rPr>
          <w:rStyle w:val="VerbatimChar"/>
        </w:rPr>
        <w:t xml:space="preserve">hipaa-safeguards.md</w:t>
      </w:r>
      <w:r>
        <w:t xml:space="preserve"> </w:t>
      </w:r>
      <w:r>
        <w:t xml:space="preserve">§III(a)(vii).</w:t>
      </w:r>
      <w:r>
        <w:t xml:space="preserve"> </w:t>
      </w:r>
      <w:r>
        <w:rPr>
          <w:b/>
          <w:bCs/>
        </w:rPr>
        <w:t xml:space="preserve">Only exists embedded in</w:t>
      </w:r>
      <w:r>
        <w:rPr>
          <w:b/>
          <w:bCs/>
        </w:rPr>
        <w:t xml:space="preserve"> </w:t>
      </w:r>
      <w:r>
        <w:rPr>
          <w:rStyle w:val="VerbatimChar"/>
          <w:b/>
          <w:bCs/>
        </w:rPr>
        <w:t xml:space="preserve">privacy-policy.md</w:t>
      </w:r>
      <w:r>
        <w:rPr>
          <w:b/>
          <w:bCs/>
        </w:rPr>
        <w:t xml:space="preserve"> </w:t>
      </w:r>
      <w:r>
        <w:rPr>
          <w:b/>
          <w:bCs/>
        </w:rPr>
        <w:t xml:space="preserve">lines 564–609.</w:t>
      </w:r>
    </w:p>
    <w:p>
      <w:r>
        <w:pict>
          <v:rect style="width:0;height:1.5pt" o:hralign="center" o:hrstd="t" o:hr="t"/>
        </w:pict>
      </w:r>
    </w:p>
    <w:bookmarkEnd w:id="27"/>
    <w:bookmarkEnd w:id="28"/>
    <w:bookmarkStart w:id="35" w:name="overlap-by-topic"/>
    <w:p>
      <w:pPr>
        <w:pStyle w:val="Heading2"/>
      </w:pPr>
      <w:r>
        <w:t xml:space="preserve">§2 — Overlap by topic</w:t>
      </w:r>
    </w:p>
    <w:p>
      <w:pPr>
        <w:pStyle w:val="FirstParagraph"/>
      </w:pPr>
      <w:r>
        <w:t xml:space="preserve">Six natural clusters emerge.</w:t>
      </w:r>
    </w:p>
    <w:bookmarkStart w:id="29" w:name="X481a05baddf9bceec60508effafd7d817021647"/>
    <w:p>
      <w:pPr>
        <w:pStyle w:val="Heading3"/>
      </w:pPr>
      <w:r>
        <w:t xml:space="preserve">Cluster A — Technical safeguards for endpoints (4 files + 1 buried file)</w:t>
      </w:r>
    </w:p>
    <w:p>
      <w:pPr>
        <w:pStyle w:val="Compact"/>
        <w:numPr>
          <w:ilvl w:val="0"/>
          <w:numId w:val="1008"/>
        </w:numPr>
      </w:pPr>
      <w:r>
        <w:rPr>
          <w:rStyle w:val="VerbatimChar"/>
        </w:rPr>
        <w:t xml:space="preserve">hipaa-encryption.md</w:t>
      </w:r>
    </w:p>
    <w:p>
      <w:pPr>
        <w:pStyle w:val="Compact"/>
        <w:numPr>
          <w:ilvl w:val="0"/>
          <w:numId w:val="1008"/>
        </w:numPr>
      </w:pPr>
      <w:r>
        <w:rPr>
          <w:rStyle w:val="VerbatimChar"/>
        </w:rPr>
        <w:t xml:space="preserve">hipaa-passwords.md</w:t>
      </w:r>
    </w:p>
    <w:p>
      <w:pPr>
        <w:pStyle w:val="Compact"/>
        <w:numPr>
          <w:ilvl w:val="0"/>
          <w:numId w:val="1008"/>
        </w:numPr>
      </w:pPr>
      <w:r>
        <w:rPr>
          <w:rStyle w:val="VerbatimChar"/>
        </w:rPr>
        <w:t xml:space="preserve">hipaa-remote-access.md</w:t>
      </w:r>
    </w:p>
    <w:p>
      <w:pPr>
        <w:pStyle w:val="Compact"/>
        <w:numPr>
          <w:ilvl w:val="0"/>
          <w:numId w:val="1008"/>
        </w:numPr>
      </w:pPr>
      <w:r>
        <w:rPr>
          <w:rStyle w:val="VerbatimChar"/>
        </w:rPr>
        <w:t xml:space="preserve">hipaa-workstation-use.md</w:t>
      </w:r>
    </w:p>
    <w:p>
      <w:pPr>
        <w:pStyle w:val="Compact"/>
        <w:numPr>
          <w:ilvl w:val="0"/>
          <w:numId w:val="1008"/>
        </w:numPr>
      </w:pPr>
      <w:r>
        <w:t xml:space="preserve">(Embedded) Device &amp; Media Management policy inside</w:t>
      </w:r>
      <w:r>
        <w:t xml:space="preserve"> </w:t>
      </w:r>
      <w:r>
        <w:rPr>
          <w:rStyle w:val="VerbatimChar"/>
        </w:rPr>
        <w:t xml:space="preserve">privacy-policy.md</w:t>
      </w:r>
    </w:p>
    <w:p>
      <w:pPr>
        <w:pStyle w:val="FirstParagraph"/>
      </w:pPr>
      <w:r>
        <w:rPr>
          <w:b/>
          <w:bCs/>
        </w:rPr>
        <w:t xml:space="preserve">Redundant:</w:t>
      </w:r>
      <w:r>
        <w:t xml:space="preserve"> </w:t>
      </w:r>
      <w:r>
        <w:t xml:space="preserve">all five describe how a user protects an endpoint that may touch PHI — they share the</w:t>
      </w:r>
      <w:r>
        <w:t xml:space="preserve"> </w:t>
      </w:r>
      <w:r>
        <w:t xml:space="preserve">“workstation/iPad/iPhone”</w:t>
      </w:r>
      <w:r>
        <w:t xml:space="preserve"> </w:t>
      </w:r>
      <w:r>
        <w:t xml:space="preserve">device list, the termination/deactivation procedure, mutual cross-references, and the same Chief Security Officer authority.</w:t>
      </w:r>
    </w:p>
    <w:p>
      <w:pPr>
        <w:pStyle w:val="BodyText"/>
      </w:pPr>
      <w:r>
        <w:rPr>
          <w:b/>
          <w:bCs/>
        </w:rPr>
        <w:t xml:space="preserve">Genuinely distinct:</w:t>
      </w:r>
      <w:r>
        <w:t xml:space="preserve"> </w:t>
      </w:r>
      <w:r>
        <w:t xml:space="preserve">Encryption is a control standard (FIPS 140-2, NIST SP 800-52/77/111/113, key management) — auditable as a separate artifact. Passwords cover specific construction rules (length, character classes, lockout). Remote Access covers VPN and off-network connectivity. Workstation Use covers the physical/screen-lock behavior. Device &amp; Media covers inventory and disposal — the only place that specifies the NIST SP 800-111</w:t>
      </w:r>
      <w:r>
        <w:t xml:space="preserve"> </w:t>
      </w:r>
      <w:r>
        <w:rPr>
          <w:i/>
          <w:iCs/>
        </w:rPr>
        <w:t xml:space="preserve">at-rest</w:t>
      </w:r>
      <w:r>
        <w:t xml:space="preserve"> </w:t>
      </w:r>
      <w:r>
        <w:t xml:space="preserve">encryption standard.</w:t>
      </w:r>
    </w:p>
    <w:p>
      <w:pPr>
        <w:pStyle w:val="BodyText"/>
      </w:pPr>
      <w:r>
        <w:rPr>
          <w:b/>
          <w:bCs/>
        </w:rPr>
        <w:t xml:space="preserve">Options:</w:t>
      </w:r>
      <w:r>
        <w:t xml:space="preserve"> </w:t>
      </w:r>
      <w:r>
        <w:t xml:space="preserve">-</w:t>
      </w:r>
      <w:r>
        <w:t xml:space="preserve"> </w:t>
      </w:r>
      <w:r>
        <w:rPr>
          <w:i/>
          <w:iCs/>
        </w:rPr>
        <w:t xml:space="preserve">(a) Merge all 5 into one</w:t>
      </w:r>
      <w:r>
        <w:rPr>
          <w:i/>
          <w:iCs/>
        </w:rPr>
        <w:t xml:space="preserve"> </w:t>
      </w:r>
      <w:r>
        <w:rPr>
          <w:i/>
          <w:iCs/>
        </w:rPr>
        <w:t xml:space="preserve">“Technical Safeguards”</w:t>
      </w:r>
      <w:r>
        <w:rPr>
          <w:i/>
          <w:iCs/>
        </w:rPr>
        <w:t xml:space="preserve"> </w:t>
      </w:r>
      <w:r>
        <w:rPr>
          <w:i/>
          <w:iCs/>
        </w:rPr>
        <w:t xml:space="preserve">policy with subsections.</w:t>
      </w:r>
      <w:r>
        <w:t xml:space="preserve"> </w:t>
      </w:r>
      <w:r>
        <w:t xml:space="preserve">Pro: a single auditable artifact for the HIPAA Security Rule §164.310/§164.312 technical+physical safeguards. Pro: kills ~80% of the boilerplate. Con: a single ~30KB file; auditors who specifically ask for</w:t>
      </w:r>
      <w:r>
        <w:t xml:space="preserve"> </w:t>
      </w:r>
      <w:r>
        <w:t xml:space="preserve">“the Encryption Policy”</w:t>
      </w:r>
      <w:r>
        <w:t xml:space="preserve"> </w:t>
      </w:r>
      <w:r>
        <w:t xml:space="preserve">need a section anchor instead of a separate doc.</w:t>
      </w:r>
      <w:r>
        <w:t xml:space="preserve"> </w:t>
      </w:r>
      <w:r>
        <w:t xml:space="preserve">-</w:t>
      </w:r>
      <w:r>
        <w:t xml:space="preserve"> </w:t>
      </w:r>
      <w:r>
        <w:rPr>
          <w:i/>
          <w:iCs/>
        </w:rPr>
        <w:t xml:space="preserve">(b) Keep Encryption standalone (because OCR/HHS commonly request it by name) and merge the other four.</w:t>
      </w:r>
      <w:r>
        <w:t xml:space="preserve"> </w:t>
      </w:r>
      <w:r>
        <w:t xml:space="preserve">Pro: preserves audit-friendly file. Con: still leaves overlap between Encryption and Device &amp; Media at-rest standard.</w:t>
      </w:r>
      <w:r>
        <w:t xml:space="preserve"> </w:t>
      </w:r>
      <w:r>
        <w:t xml:space="preserve">-</w:t>
      </w:r>
      <w:r>
        <w:t xml:space="preserve"> </w:t>
      </w:r>
      <w:r>
        <w:rPr>
          <w:i/>
          <w:iCs/>
        </w:rPr>
        <w:t xml:space="preserve">(c) Status quo.</w:t>
      </w:r>
      <w:r>
        <w:t xml:space="preserve"> </w:t>
      </w:r>
      <w:r>
        <w:t xml:space="preserve">Heaviest duplication, easiest to find any one rule.</w:t>
      </w:r>
    </w:p>
    <w:p>
      <w:pPr>
        <w:pStyle w:val="BodyText"/>
      </w:pPr>
      <w:r>
        <w:rPr>
          <w:b/>
          <w:bCs/>
        </w:rPr>
        <w:t xml:space="preserve">Tradeoff to note:</w:t>
      </w:r>
      <w:r>
        <w:t xml:space="preserve"> </w:t>
      </w:r>
      <w:r>
        <w:t xml:space="preserve">the existing</w:t>
      </w:r>
      <w:r>
        <w:t xml:space="preserve"> </w:t>
      </w:r>
      <w:r>
        <w:rPr>
          <w:rStyle w:val="VerbatimChar"/>
        </w:rPr>
        <w:t xml:space="preserve">hipaa-safeguards.md</w:t>
      </w:r>
      <w:r>
        <w:t xml:space="preserve"> </w:t>
      </w:r>
      <w:r>
        <w:t xml:space="preserve">already partially does this — it has its own</w:t>
      </w:r>
      <w:r>
        <w:t xml:space="preserve"> </w:t>
      </w:r>
      <w:r>
        <w:t xml:space="preserve">“Workstation Use”</w:t>
      </w:r>
      <w:r>
        <w:t xml:space="preserve"> </w:t>
      </w:r>
      <w:r>
        <w:t xml:space="preserve">subsection that duplicates</w:t>
      </w:r>
      <w:r>
        <w:t xml:space="preserve"> </w:t>
      </w:r>
      <w:r>
        <w:rPr>
          <w:rStyle w:val="VerbatimChar"/>
        </w:rPr>
        <w:t xml:space="preserve">hipaa-workstation-use.md</w:t>
      </w:r>
      <w:r>
        <w:t xml:space="preserve">, its own</w:t>
      </w:r>
      <w:r>
        <w:t xml:space="preserve"> </w:t>
      </w:r>
      <w:r>
        <w:t xml:space="preserve">“Access Controls”</w:t>
      </w:r>
      <w:r>
        <w:t xml:space="preserve"> </w:t>
      </w:r>
      <w:r>
        <w:t xml:space="preserve">that points back to Passwords, its own</w:t>
      </w:r>
      <w:r>
        <w:t xml:space="preserve"> </w:t>
      </w:r>
      <w:r>
        <w:t xml:space="preserve">“Remote Work Areas”</w:t>
      </w:r>
      <w:r>
        <w:t xml:space="preserve"> </w:t>
      </w:r>
      <w:r>
        <w:t xml:space="preserve">that overlaps with Remote Access. Safeguards is the natural anchor for option (a) or (b).</w:t>
      </w:r>
    </w:p>
    <w:bookmarkEnd w:id="29"/>
    <w:bookmarkStart w:id="30" w:name="Xac27b3c7c0eeb7fe109525bdfae4d30d931b10d"/>
    <w:p>
      <w:pPr>
        <w:pStyle w:val="Heading3"/>
      </w:pPr>
      <w:r>
        <w:t xml:space="preserve">Cluster B — Administrative + physical safeguards (3 files)</w:t>
      </w:r>
    </w:p>
    <w:p>
      <w:pPr>
        <w:pStyle w:val="Compact"/>
        <w:numPr>
          <w:ilvl w:val="0"/>
          <w:numId w:val="1009"/>
        </w:numPr>
      </w:pPr>
      <w:r>
        <w:rPr>
          <w:rStyle w:val="VerbatimChar"/>
        </w:rPr>
        <w:t xml:space="preserve">hipaa-safeguards.md</w:t>
      </w:r>
      <w:r>
        <w:t xml:space="preserve"> </w:t>
      </w:r>
      <w:r>
        <w:t xml:space="preserve">(administrative + physical + some technical)</w:t>
      </w:r>
    </w:p>
    <w:p>
      <w:pPr>
        <w:pStyle w:val="Compact"/>
        <w:numPr>
          <w:ilvl w:val="0"/>
          <w:numId w:val="1009"/>
        </w:numPr>
      </w:pPr>
      <w:r>
        <w:rPr>
          <w:rStyle w:val="VerbatimChar"/>
        </w:rPr>
        <w:t xml:space="preserve">hipaa-paper-documents.md</w:t>
      </w:r>
      <w:r>
        <w:t xml:space="preserve"> </w:t>
      </w:r>
      <w:r>
        <w:t xml:space="preserve">(physical, paper-only)</w:t>
      </w:r>
    </w:p>
    <w:p>
      <w:pPr>
        <w:pStyle w:val="Compact"/>
        <w:numPr>
          <w:ilvl w:val="0"/>
          <w:numId w:val="1009"/>
        </w:numPr>
      </w:pPr>
      <w:r>
        <w:rPr>
          <w:rStyle w:val="VerbatimChar"/>
        </w:rPr>
        <w:t xml:space="preserve">hipaa-contingency-planning.md</w:t>
      </w:r>
      <w:r>
        <w:t xml:space="preserve"> </w:t>
      </w:r>
      <w:r>
        <w:t xml:space="preserve">(administrative, BCP/DR)</w:t>
      </w:r>
    </w:p>
    <w:p>
      <w:pPr>
        <w:pStyle w:val="FirstParagraph"/>
      </w:pPr>
      <w:r>
        <w:rPr>
          <w:b/>
          <w:bCs/>
        </w:rPr>
        <w:t xml:space="preserve">Redundant:</w:t>
      </w:r>
      <w:r>
        <w:t xml:space="preserve"> </w:t>
      </w:r>
      <w:r>
        <w:rPr>
          <w:rStyle w:val="VerbatimChar"/>
        </w:rPr>
        <w:t xml:space="preserve">hipaa-safeguards.md</w:t>
      </w:r>
      <w:r>
        <w:t xml:space="preserve"> </w:t>
      </w:r>
      <w:r>
        <w:t xml:space="preserve">already contains a</w:t>
      </w:r>
      <w:r>
        <w:t xml:space="preserve"> </w:t>
      </w:r>
      <w:r>
        <w:t xml:space="preserve">“Disposal”</w:t>
      </w:r>
      <w:r>
        <w:t xml:space="preserve"> </w:t>
      </w:r>
      <w:r>
        <w:t xml:space="preserve">subsection (§III(a)(vi)) that overlaps with</w:t>
      </w:r>
      <w:r>
        <w:t xml:space="preserve"> </w:t>
      </w:r>
      <w:r>
        <w:rPr>
          <w:rStyle w:val="VerbatimChar"/>
        </w:rPr>
        <w:t xml:space="preserve">hipaa-paper-documents.md</w:t>
      </w:r>
      <w:r>
        <w:t xml:space="preserve"> </w:t>
      </w:r>
      <w:r>
        <w:t xml:space="preserve">shredding rules. Both reference the same BAA requirement for shredding vendors.</w:t>
      </w:r>
    </w:p>
    <w:p>
      <w:pPr>
        <w:pStyle w:val="BodyText"/>
      </w:pPr>
      <w:r>
        <w:rPr>
          <w:b/>
          <w:bCs/>
        </w:rPr>
        <w:t xml:space="preserve">Genuinely distinct:</w:t>
      </w:r>
      <w:r>
        <w:t xml:space="preserve"> </w:t>
      </w:r>
      <w:r>
        <w:t xml:space="preserve">Contingency Planning is a separate HIPAA Security Rule requirement (§164.308(a)(7)) that auditors look for by name — backup, DR, emergency operations. It barely overlaps in content with the others; the overlap is just the standard scope/training boilerplate.</w:t>
      </w:r>
    </w:p>
    <w:p>
      <w:pPr>
        <w:pStyle w:val="BodyText"/>
      </w:pPr>
      <w:r>
        <w:rPr>
          <w:b/>
          <w:bCs/>
        </w:rPr>
        <w:t xml:space="preserve">Options:</w:t>
      </w:r>
      <w:r>
        <w:t xml:space="preserve"> </w:t>
      </w:r>
      <w:r>
        <w:t xml:space="preserve">-</w:t>
      </w:r>
      <w:r>
        <w:t xml:space="preserve"> </w:t>
      </w:r>
      <w:r>
        <w:rPr>
          <w:i/>
          <w:iCs/>
        </w:rPr>
        <w:t xml:space="preserve">(a) Fold Paper Documents into Safeguards as a subsection; keep Contingency Planning standalone.</w:t>
      </w:r>
      <w:r>
        <w:t xml:space="preserve"> </w:t>
      </w:r>
      <w:r>
        <w:t xml:space="preserve">-</w:t>
      </w:r>
      <w:r>
        <w:t xml:space="preserve"> </w:t>
      </w:r>
      <w:r>
        <w:rPr>
          <w:i/>
          <w:iCs/>
        </w:rPr>
        <w:t xml:space="preserve">(b) Keep all three separate but explicitly cross-link the shredding rules.</w:t>
      </w:r>
      <w:r>
        <w:t xml:space="preserve"> </w:t>
      </w:r>
      <w:r>
        <w:t xml:space="preserve">-</w:t>
      </w:r>
      <w:r>
        <w:t xml:space="preserve"> </w:t>
      </w:r>
      <w:r>
        <w:rPr>
          <w:i/>
          <w:iCs/>
        </w:rPr>
        <w:t xml:space="preserve">(c) Merge all into one</w:t>
      </w:r>
      <w:r>
        <w:rPr>
          <w:i/>
          <w:iCs/>
        </w:rPr>
        <w:t xml:space="preserve"> </w:t>
      </w:r>
      <w:r>
        <w:rPr>
          <w:i/>
          <w:iCs/>
        </w:rPr>
        <w:t xml:space="preserve">“Operational Safeguards”</w:t>
      </w:r>
      <w:r>
        <w:rPr>
          <w:i/>
          <w:iCs/>
        </w:rPr>
        <w:t xml:space="preserve"> </w:t>
      </w:r>
      <w:r>
        <w:rPr>
          <w:i/>
          <w:iCs/>
        </w:rPr>
        <w:t xml:space="preserve">doc.</w:t>
      </w:r>
      <w:r>
        <w:t xml:space="preserve"> </w:t>
      </w:r>
      <w:r>
        <w:t xml:space="preserve">Risk: Contingency Planning loses its distinct identity, and auditors won’t find a</w:t>
      </w:r>
      <w:r>
        <w:t xml:space="preserve"> </w:t>
      </w:r>
      <w:r>
        <w:t xml:space="preserve">“Disaster Recovery / BCP”</w:t>
      </w:r>
      <w:r>
        <w:t xml:space="preserve"> </w:t>
      </w:r>
      <w:r>
        <w:t xml:space="preserve">policy by name.</w:t>
      </w:r>
    </w:p>
    <w:bookmarkEnd w:id="30"/>
    <w:bookmarkStart w:id="31" w:name="cluster-c-patient-rights-3-files"/>
    <w:p>
      <w:pPr>
        <w:pStyle w:val="Heading3"/>
      </w:pPr>
      <w:r>
        <w:t xml:space="preserve">Cluster C — Patient rights (3 files)</w:t>
      </w:r>
    </w:p>
    <w:p>
      <w:pPr>
        <w:pStyle w:val="Compact"/>
        <w:numPr>
          <w:ilvl w:val="0"/>
          <w:numId w:val="1010"/>
        </w:numPr>
      </w:pPr>
      <w:r>
        <w:rPr>
          <w:rStyle w:val="VerbatimChar"/>
        </w:rPr>
        <w:t xml:space="preserve">hipaa-right-to-access.md</w:t>
      </w:r>
    </w:p>
    <w:p>
      <w:pPr>
        <w:pStyle w:val="Compact"/>
        <w:numPr>
          <w:ilvl w:val="0"/>
          <w:numId w:val="1010"/>
        </w:numPr>
      </w:pPr>
      <w:r>
        <w:rPr>
          <w:rStyle w:val="VerbatimChar"/>
        </w:rPr>
        <w:t xml:space="preserve">hipaa-right-to-amend.md</w:t>
      </w:r>
    </w:p>
    <w:p>
      <w:pPr>
        <w:pStyle w:val="Compact"/>
        <w:numPr>
          <w:ilvl w:val="0"/>
          <w:numId w:val="1010"/>
        </w:numPr>
      </w:pPr>
      <w:r>
        <w:rPr>
          <w:rStyle w:val="VerbatimChar"/>
        </w:rPr>
        <w:t xml:space="preserve">hipaa-accounting-of-disclosures.md</w:t>
      </w:r>
    </w:p>
    <w:p>
      <w:pPr>
        <w:pStyle w:val="FirstParagraph"/>
      </w:pPr>
      <w:r>
        <w:rPr>
          <w:b/>
          <w:bCs/>
        </w:rPr>
        <w:t xml:space="preserve">Redundant:</w:t>
      </w:r>
      <w:r>
        <w:t xml:space="preserve"> </w:t>
      </w:r>
      <w:r>
        <w:t xml:space="preserve">identical procedural pattern — patient submits written request → Chief Privacy Officer responds within N days → response template letters in attachments. All three have nearly identical</w:t>
      </w:r>
      <w:r>
        <w:t xml:space="preserve"> </w:t>
      </w:r>
      <w:r>
        <w:t xml:space="preserve">“30-day extension allowed”</w:t>
      </w:r>
      <w:r>
        <w:t xml:space="preserve"> </w:t>
      </w:r>
      <w:r>
        <w:t xml:space="preserve">mechanics.</w:t>
      </w:r>
    </w:p>
    <w:p>
      <w:pPr>
        <w:pStyle w:val="BodyText"/>
      </w:pPr>
      <w:r>
        <w:rPr>
          <w:b/>
          <w:bCs/>
        </w:rPr>
        <w:t xml:space="preserve">Genuinely distinct:</w:t>
      </w:r>
      <w:r>
        <w:t xml:space="preserve"> </w:t>
      </w:r>
      <w:r>
        <w:t xml:space="preserve">different statutory clocks (30, 60, 60 days), different denial grounds, different sample letter templates. All three are HIPAA-required individual rights under different CFR sections (164.524, 164.526, 164.528).</w:t>
      </w:r>
    </w:p>
    <w:p>
      <w:pPr>
        <w:pStyle w:val="BodyText"/>
      </w:pPr>
      <w:r>
        <w:rPr>
          <w:b/>
          <w:bCs/>
        </w:rPr>
        <w:t xml:space="preserve">Options:</w:t>
      </w:r>
      <w:r>
        <w:t xml:space="preserve"> </w:t>
      </w:r>
      <w:r>
        <w:t xml:space="preserve">-</w:t>
      </w:r>
      <w:r>
        <w:t xml:space="preserve"> </w:t>
      </w:r>
      <w:r>
        <w:rPr>
          <w:i/>
          <w:iCs/>
        </w:rPr>
        <w:t xml:space="preserve">(a) Merge into one</w:t>
      </w:r>
      <w:r>
        <w:rPr>
          <w:i/>
          <w:iCs/>
        </w:rPr>
        <w:t xml:space="preserve"> </w:t>
      </w:r>
      <w:r>
        <w:rPr>
          <w:i/>
          <w:iCs/>
        </w:rPr>
        <w:t xml:space="preserve">“Patient Rights Policy”</w:t>
      </w:r>
      <w:r>
        <w:rPr>
          <w:i/>
          <w:iCs/>
        </w:rPr>
        <w:t xml:space="preserve"> </w:t>
      </w:r>
      <w:r>
        <w:rPr>
          <w:i/>
          <w:iCs/>
        </w:rPr>
        <w:t xml:space="preserve">with three top-level sections.</w:t>
      </w:r>
      <w:r>
        <w:t xml:space="preserve"> </w:t>
      </w:r>
      <w:r>
        <w:t xml:space="preserve">Pro: each section can still be referenced by name; sample letter templates can sit together. Pro: kills 2x scope/training boilerplate.</w:t>
      </w:r>
      <w:r>
        <w:t xml:space="preserve"> </w:t>
      </w:r>
      <w:r>
        <w:t xml:space="preserve">-</w:t>
      </w:r>
      <w:r>
        <w:t xml:space="preserve"> </w:t>
      </w:r>
      <w:r>
        <w:rPr>
          <w:i/>
          <w:iCs/>
        </w:rPr>
        <w:t xml:space="preserve">(b) Keep all three separate.</w:t>
      </w:r>
      <w:r>
        <w:t xml:space="preserve"> </w:t>
      </w:r>
      <w:r>
        <w:t xml:space="preserve">They are already small (4–22KB).</w:t>
      </w:r>
    </w:p>
    <w:bookmarkEnd w:id="31"/>
    <w:bookmarkStart w:id="32" w:name="cluster-d-use-disclosure-of-phi-3-files"/>
    <w:p>
      <w:pPr>
        <w:pStyle w:val="Heading3"/>
      </w:pPr>
      <w:r>
        <w:t xml:space="preserve">Cluster D — Use &amp; disclosure of PHI (3 files)</w:t>
      </w:r>
    </w:p>
    <w:p>
      <w:pPr>
        <w:pStyle w:val="Compact"/>
        <w:numPr>
          <w:ilvl w:val="0"/>
          <w:numId w:val="1011"/>
        </w:numPr>
      </w:pPr>
      <w:r>
        <w:rPr>
          <w:rStyle w:val="VerbatimChar"/>
        </w:rPr>
        <w:t xml:space="preserve">hipaa-phi-use-and-disclosure.md</w:t>
      </w:r>
      <w:r>
        <w:t xml:space="preserve"> </w:t>
      </w:r>
      <w:r>
        <w:t xml:space="preserve">(legal, public health, regulatory)</w:t>
      </w:r>
    </w:p>
    <w:p>
      <w:pPr>
        <w:pStyle w:val="Compact"/>
        <w:numPr>
          <w:ilvl w:val="0"/>
          <w:numId w:val="1011"/>
        </w:numPr>
      </w:pPr>
      <w:r>
        <w:rPr>
          <w:rStyle w:val="VerbatimChar"/>
        </w:rPr>
        <w:t xml:space="preserve">hipaa-minimum-necessary.md</w:t>
      </w:r>
    </w:p>
    <w:p>
      <w:pPr>
        <w:pStyle w:val="Compact"/>
        <w:numPr>
          <w:ilvl w:val="0"/>
          <w:numId w:val="1011"/>
        </w:numPr>
      </w:pPr>
      <w:r>
        <w:rPr>
          <w:rStyle w:val="VerbatimChar"/>
        </w:rPr>
        <w:t xml:space="preserve">hipaa-de-identifying-phi.md</w:t>
      </w:r>
      <w:r>
        <w:t xml:space="preserve"> </w:t>
      </w:r>
      <w:r>
        <w:t xml:space="preserve">(also includes Limited Data Sets and Data Use Agreements)</w:t>
      </w:r>
    </w:p>
    <w:p>
      <w:pPr>
        <w:pStyle w:val="Compact"/>
        <w:numPr>
          <w:ilvl w:val="0"/>
          <w:numId w:val="1011"/>
        </w:numPr>
      </w:pPr>
      <w:r>
        <w:rPr>
          <w:rStyle w:val="VerbatimChar"/>
        </w:rPr>
        <w:t xml:space="preserve">hipaa-marketing.md</w:t>
      </w:r>
    </w:p>
    <w:p>
      <w:pPr>
        <w:pStyle w:val="FirstParagraph"/>
      </w:pPr>
      <w:r>
        <w:rPr>
          <w:b/>
          <w:bCs/>
        </w:rPr>
        <w:t xml:space="preserve">Redundant:</w:t>
      </w:r>
      <w:r>
        <w:t xml:space="preserve"> </w:t>
      </w:r>
      <w:r>
        <w:t xml:space="preserve">all four govern when/how PHI may be used or disclosed. Minimum Necessary is referenced inside De-Identifying (§III(d)(v) bullet) and is foundational to all of them.</w:t>
      </w:r>
    </w:p>
    <w:p>
      <w:pPr>
        <w:pStyle w:val="BodyText"/>
      </w:pPr>
      <w:r>
        <w:rPr>
          <w:b/>
          <w:bCs/>
        </w:rPr>
        <w:t xml:space="preserve">Genuinely distinct:</w:t>
      </w:r>
      <w:r>
        <w:t xml:space="preserve"> </w:t>
      </w:r>
      <w:r>
        <w:t xml:space="preserve">each is a distinct HIPAA decision: do you need authorization (Marketing), can you de-identify instead (De-Identifying), is this disclosure exempt (Use &amp; Disclosure for Legal/Public Health), and how much do you disclose (Minimum Necessary).</w:t>
      </w:r>
    </w:p>
    <w:p>
      <w:pPr>
        <w:pStyle w:val="BodyText"/>
      </w:pPr>
      <w:r>
        <w:rPr>
          <w:b/>
          <w:bCs/>
        </w:rPr>
        <w:t xml:space="preserve">Options:</w:t>
      </w:r>
      <w:r>
        <w:t xml:space="preserve"> </w:t>
      </w:r>
      <w:r>
        <w:t xml:space="preserve">-</w:t>
      </w:r>
      <w:r>
        <w:t xml:space="preserve"> </w:t>
      </w:r>
      <w:r>
        <w:rPr>
          <w:i/>
          <w:iCs/>
        </w:rPr>
        <w:t xml:space="preserve">(a) Merge all four into one</w:t>
      </w:r>
      <w:r>
        <w:rPr>
          <w:i/>
          <w:iCs/>
        </w:rPr>
        <w:t xml:space="preserve"> </w:t>
      </w:r>
      <w:r>
        <w:rPr>
          <w:i/>
          <w:iCs/>
        </w:rPr>
        <w:t xml:space="preserve">“PHI Use &amp; Disclosure Policy”</w:t>
      </w:r>
      <w:r>
        <w:rPr>
          <w:i/>
          <w:iCs/>
        </w:rPr>
        <w:t xml:space="preserve"> </w:t>
      </w:r>
      <w:r>
        <w:rPr>
          <w:i/>
          <w:iCs/>
        </w:rPr>
        <w:t xml:space="preserve">with subsections.</w:t>
      </w:r>
      <w:r>
        <w:t xml:space="preserve"> </w:t>
      </w:r>
      <w:r>
        <w:t xml:space="preserve">Pro: a single answer to</w:t>
      </w:r>
      <w:r>
        <w:t xml:space="preserve"> </w:t>
      </w:r>
      <w:r>
        <w:t xml:space="preserve">“may we use/share this PHI?”</w:t>
      </w:r>
      <w:r>
        <w:t xml:space="preserve"> </w:t>
      </w:r>
      <w:r>
        <w:t xml:space="preserve">Pro: kills shared scope/training boilerplate. Con: ~35KB doc.</w:t>
      </w:r>
      <w:r>
        <w:t xml:space="preserve"> </w:t>
      </w:r>
      <w:r>
        <w:t xml:space="preserve">-</w:t>
      </w:r>
      <w:r>
        <w:t xml:space="preserve"> </w:t>
      </w:r>
      <w:r>
        <w:rPr>
          <w:i/>
          <w:iCs/>
        </w:rPr>
        <w:t xml:space="preserve">(b) Keep Marketing standalone (it has very specific authorization mechanics and a definition unique to it) and merge the other three.</w:t>
      </w:r>
    </w:p>
    <w:bookmarkEnd w:id="32"/>
    <w:bookmarkStart w:id="33" w:name="Xe4f5f0e8e350cd0866d655234055ffb19a50a0e"/>
    <w:p>
      <w:pPr>
        <w:pStyle w:val="Heading3"/>
      </w:pPr>
      <w:r>
        <w:t xml:space="preserve">Cluster E — Governance, risk, vendor management, incidents (4 files)</w:t>
      </w:r>
    </w:p>
    <w:p>
      <w:pPr>
        <w:pStyle w:val="Compact"/>
        <w:numPr>
          <w:ilvl w:val="0"/>
          <w:numId w:val="1012"/>
        </w:numPr>
      </w:pPr>
      <w:r>
        <w:rPr>
          <w:rStyle w:val="VerbatimChar"/>
        </w:rPr>
        <w:t xml:space="preserve">information-security-framework.md</w:t>
      </w:r>
      <w:r>
        <w:t xml:space="preserve"> </w:t>
      </w:r>
      <w:r>
        <w:t xml:space="preserve">(master framework)</w:t>
      </w:r>
    </w:p>
    <w:p>
      <w:pPr>
        <w:pStyle w:val="Compact"/>
        <w:numPr>
          <w:ilvl w:val="0"/>
          <w:numId w:val="1012"/>
        </w:numPr>
      </w:pPr>
      <w:r>
        <w:rPr>
          <w:rStyle w:val="VerbatimChar"/>
        </w:rPr>
        <w:t xml:space="preserve">hipaa-risk-management.md</w:t>
      </w:r>
    </w:p>
    <w:p>
      <w:pPr>
        <w:pStyle w:val="Compact"/>
        <w:numPr>
          <w:ilvl w:val="0"/>
          <w:numId w:val="1012"/>
        </w:numPr>
      </w:pPr>
      <w:r>
        <w:rPr>
          <w:rStyle w:val="VerbatimChar"/>
        </w:rPr>
        <w:t xml:space="preserve">hipaa-security-incidents.md</w:t>
      </w:r>
    </w:p>
    <w:p>
      <w:pPr>
        <w:pStyle w:val="Compact"/>
        <w:numPr>
          <w:ilvl w:val="0"/>
          <w:numId w:val="1012"/>
        </w:numPr>
      </w:pPr>
      <w:r>
        <w:rPr>
          <w:rStyle w:val="VerbatimChar"/>
        </w:rPr>
        <w:t xml:space="preserve">hipaa-breach-notification.md</w:t>
      </w:r>
    </w:p>
    <w:p>
      <w:pPr>
        <w:pStyle w:val="Compact"/>
        <w:numPr>
          <w:ilvl w:val="0"/>
          <w:numId w:val="1012"/>
        </w:numPr>
      </w:pPr>
      <w:r>
        <w:rPr>
          <w:rStyle w:val="VerbatimChar"/>
        </w:rPr>
        <w:t xml:space="preserve">hipaa-business-associate-agreement.md</w:t>
      </w:r>
    </w:p>
    <w:p>
      <w:pPr>
        <w:pStyle w:val="FirstParagraph"/>
      </w:pPr>
      <w:r>
        <w:rPr>
          <w:b/>
          <w:bCs/>
        </w:rPr>
        <w:t xml:space="preserve">Redundant:</w:t>
      </w:r>
      <w:r>
        <w:t xml:space="preserve"> </w:t>
      </w:r>
      <w:r>
        <w:rPr>
          <w:rStyle w:val="VerbatimChar"/>
        </w:rPr>
        <w:t xml:space="preserve">information-security-framework.md</w:t>
      </w:r>
      <w:r>
        <w:t xml:space="preserve"> </w:t>
      </w:r>
      <w:r>
        <w:t xml:space="preserve">is structurally a summary of all the other policies — it has sections on encryption, access control, incident response, breach notification, vendor management that all duplicate (in summary form) what those individual policies say.</w:t>
      </w:r>
    </w:p>
    <w:p>
      <w:pPr>
        <w:pStyle w:val="BodyText"/>
      </w:pPr>
      <w:r>
        <w:rPr>
          <w:b/>
          <w:bCs/>
        </w:rPr>
        <w:t xml:space="preserve">Genuinely distinct:</w:t>
      </w:r>
      <w:r>
        <w:t xml:space="preserve"> </w:t>
      </w:r>
      <w:r>
        <w:t xml:space="preserve">Risk Management has the formal annual risk-assessment process. Security Incidents has the IT incident-response procedure. Breach Notification has the</w:t>
      </w:r>
      <w:r>
        <w:t xml:space="preserve"> </w:t>
      </w:r>
      <w:r>
        <w:rPr>
          <w:i/>
          <w:iCs/>
        </w:rPr>
        <w:t xml:space="preserve">legal</w:t>
      </w:r>
      <w:r>
        <w:t xml:space="preserve"> </w:t>
      </w:r>
      <w:r>
        <w:t xml:space="preserve">48-hour / 60-day notification cascade and exhibits (Risk Assessment form, sample letter, breach reporting form) — auditors absolutely look for this one by name. BAA has the vendor-onboarding procedure.</w:t>
      </w:r>
    </w:p>
    <w:p>
      <w:pPr>
        <w:pStyle w:val="BodyText"/>
      </w:pPr>
      <w:r>
        <w:rPr>
          <w:b/>
          <w:bCs/>
        </w:rPr>
        <w:t xml:space="preserve">Options:</w:t>
      </w:r>
      <w:r>
        <w:t xml:space="preserve"> </w:t>
      </w:r>
      <w:r>
        <w:t xml:space="preserve">-</w:t>
      </w:r>
      <w:r>
        <w:t xml:space="preserve"> </w:t>
      </w:r>
      <w:r>
        <w:rPr>
          <w:i/>
          <w:iCs/>
        </w:rPr>
        <w:t xml:space="preserve">(a) Keep all 5 separate but treat the framework as the table-of-contents/landing page that points into them.</w:t>
      </w:r>
      <w:r>
        <w:t xml:space="preserve"> </w:t>
      </w:r>
      <w:r>
        <w:t xml:space="preserve">-</w:t>
      </w:r>
      <w:r>
        <w:t xml:space="preserve"> </w:t>
      </w:r>
      <w:r>
        <w:rPr>
          <w:i/>
          <w:iCs/>
        </w:rPr>
        <w:t xml:space="preserve">(b) Merge framework + Risk Management into</w:t>
      </w:r>
      <w:r>
        <w:rPr>
          <w:i/>
          <w:iCs/>
        </w:rPr>
        <w:t xml:space="preserve"> </w:t>
      </w:r>
      <w:r>
        <w:rPr>
          <w:i/>
          <w:iCs/>
        </w:rPr>
        <w:t xml:space="preserve">“Governance &amp; Risk Management”</w:t>
      </w:r>
      <w:r>
        <w:rPr>
          <w:i/>
          <w:iCs/>
        </w:rPr>
        <w:t xml:space="preserve">; merge Security Incidents + Breach Notification into</w:t>
      </w:r>
      <w:r>
        <w:rPr>
          <w:i/>
          <w:iCs/>
        </w:rPr>
        <w:t xml:space="preserve"> </w:t>
      </w:r>
      <w:r>
        <w:rPr>
          <w:i/>
          <w:iCs/>
        </w:rPr>
        <w:t xml:space="preserve">“Incident &amp; Breach Response”</w:t>
      </w:r>
      <w:r>
        <w:rPr>
          <w:i/>
          <w:iCs/>
        </w:rPr>
        <w:t xml:space="preserve">; keep BAA standalone (or fold into Governance as Vendor Management section).</w:t>
      </w:r>
      <w:r>
        <w:t xml:space="preserve"> </w:t>
      </w:r>
      <w:r>
        <w:t xml:space="preserve">This is the cleanest 3-file outcome for this cluster.</w:t>
      </w:r>
      <w:r>
        <w:t xml:space="preserve"> </w:t>
      </w:r>
      <w:r>
        <w:t xml:space="preserve">-</w:t>
      </w:r>
      <w:r>
        <w:t xml:space="preserve"> </w:t>
      </w:r>
      <w:r>
        <w:rPr>
          <w:i/>
          <w:iCs/>
        </w:rPr>
        <w:t xml:space="preserve">(c) Merge Security Incidents into Breach Notification.</w:t>
      </w:r>
      <w:r>
        <w:t xml:space="preserve"> </w:t>
      </w:r>
      <w:r>
        <w:t xml:space="preserve">Risky — they have different audiences (Security Officer vs Privacy Officer) and different statutory triggers.</w:t>
      </w:r>
    </w:p>
    <w:bookmarkEnd w:id="33"/>
    <w:bookmarkStart w:id="34" w:name="Xb10fc656ef2bfe14b309bac2b10bb61ae64a7f4"/>
    <w:p>
      <w:pPr>
        <w:pStyle w:val="Heading3"/>
      </w:pPr>
      <w:r>
        <w:t xml:space="preserve">Cluster F — Patient-facing notice + SDLC + Reference inventories (3 + 2 files)</w:t>
      </w:r>
    </w:p>
    <w:p>
      <w:pPr>
        <w:pStyle w:val="Compact"/>
        <w:numPr>
          <w:ilvl w:val="0"/>
          <w:numId w:val="1013"/>
        </w:numPr>
      </w:pPr>
      <w:r>
        <w:rPr>
          <w:rStyle w:val="VerbatimChar"/>
        </w:rPr>
        <w:t xml:space="preserve">privacy-policy.md</w:t>
      </w:r>
      <w:r>
        <w:t xml:space="preserve"> </w:t>
      </w:r>
      <w:r>
        <w:t xml:space="preserve">— currently mis-titled (see top of doc); needs to be rebuilt as an actual Notice of Privacy Practices, OR deleted after content rescue.</w:t>
      </w:r>
    </w:p>
    <w:p>
      <w:pPr>
        <w:pStyle w:val="Compact"/>
        <w:numPr>
          <w:ilvl w:val="0"/>
          <w:numId w:val="1013"/>
        </w:numPr>
      </w:pPr>
      <w:r>
        <w:rPr>
          <w:rStyle w:val="VerbatimChar"/>
        </w:rPr>
        <w:t xml:space="preserve">sdlc-and-asset-lifecycle.md</w:t>
      </w:r>
      <w:r>
        <w:t xml:space="preserve"> </w:t>
      </w:r>
      <w:r>
        <w:t xml:space="preserve">— separate concern (CTO-owned, developer-facing).</w:t>
      </w:r>
    </w:p>
    <w:p>
      <w:pPr>
        <w:pStyle w:val="Compact"/>
        <w:numPr>
          <w:ilvl w:val="0"/>
          <w:numId w:val="1013"/>
        </w:numPr>
      </w:pPr>
      <w:r>
        <w:rPr>
          <w:rStyle w:val="VerbatimChar"/>
        </w:rPr>
        <w:t xml:space="preserve">hipaa-definitions.md</w:t>
      </w:r>
      <w:r>
        <w:t xml:space="preserve"> </w:t>
      </w:r>
      <w:r>
        <w:t xml:space="preserve">— glossary; standalone or absorbed.</w:t>
      </w:r>
    </w:p>
    <w:p>
      <w:pPr>
        <w:pStyle w:val="Compact"/>
        <w:numPr>
          <w:ilvl w:val="0"/>
          <w:numId w:val="1013"/>
        </w:numPr>
      </w:pPr>
      <w:r>
        <w:rPr>
          <w:rStyle w:val="VerbatimChar"/>
        </w:rPr>
        <w:t xml:space="preserve">platform-and-access-matrix.md</w:t>
      </w:r>
      <w:r>
        <w:t xml:space="preserve"> </w:t>
      </w:r>
      <w:r>
        <w:t xml:space="preserve">— pure inventory (xlsx-derived).</w:t>
      </w:r>
    </w:p>
    <w:p>
      <w:pPr>
        <w:pStyle w:val="Compact"/>
        <w:numPr>
          <w:ilvl w:val="0"/>
          <w:numId w:val="1013"/>
        </w:numPr>
      </w:pPr>
      <w:r>
        <w:rPr>
          <w:rStyle w:val="VerbatimChar"/>
        </w:rPr>
        <w:t xml:space="preserve">ech-security-assessment.md</w:t>
      </w:r>
      <w:r>
        <w:t xml:space="preserve"> </w:t>
      </w:r>
      <w:r>
        <w:t xml:space="preserve">— vendor questionnaire (xlsx-derived).</w:t>
      </w:r>
    </w:p>
    <w:p>
      <w:pPr>
        <w:pStyle w:val="FirstParagraph"/>
      </w:pPr>
      <w:r>
        <w:t xml:space="preserve">The two xlsx-derived files are noted in the README as</w:t>
      </w:r>
      <w:r>
        <w:t xml:space="preserve"> </w:t>
      </w:r>
      <w:r>
        <w:t xml:space="preserve">“read-only snapshots”</w:t>
      </w:r>
      <w:r>
        <w:t xml:space="preserve"> </w:t>
      </w:r>
      <w:r>
        <w:t xml:space="preserve">of the canonical spreadsheets. They should stay as-is and not be merged with anything.</w:t>
      </w:r>
    </w:p>
    <w:p>
      <w:r>
        <w:pict>
          <v:rect style="width:0;height:1.5pt" o:hralign="center" o:hrstd="t" o:hr="t"/>
        </w:pict>
      </w:r>
    </w:p>
    <w:bookmarkEnd w:id="34"/>
    <w:bookmarkEnd w:id="35"/>
    <w:bookmarkStart w:id="47" w:name="proposed-consolidated-structure"/>
    <w:p>
      <w:pPr>
        <w:pStyle w:val="Heading2"/>
      </w:pPr>
      <w:r>
        <w:t xml:space="preserve">§3 — Proposed consolidated structure</w:t>
      </w:r>
    </w:p>
    <w:p>
      <w:pPr>
        <w:pStyle w:val="FirstParagraph"/>
      </w:pPr>
      <w:r>
        <w:t xml:space="preserve">Recommended target:</w:t>
      </w:r>
      <w:r>
        <w:t xml:space="preserve"> </w:t>
      </w:r>
      <w:r>
        <w:rPr>
          <w:b/>
          <w:bCs/>
        </w:rPr>
        <w:t xml:space="preserve">6 thematic policies + 2 reference matrices + 1 patient-facing notice (TBD)</w:t>
      </w:r>
      <w:r>
        <w:t xml:space="preserve"> </w:t>
      </w:r>
      <w:r>
        <w:t xml:space="preserve">= 9 files total, down from 24.</w:t>
      </w:r>
    </w:p>
    <w:p>
      <w:pPr>
        <w:pStyle w:val="BodyText"/>
      </w:pPr>
      <w:r>
        <w:t xml:space="preserve">Estimated sizes are rough character counts assuming each section keeps only the substantive content (one shared scope + one training section + the policy-specific procedures), with boilerplate factored out per §5.</w:t>
      </w:r>
    </w:p>
    <w:p>
      <w:r>
        <w:pict>
          <v:rect style="width:0;height:1.5pt" o:hralign="center" o:hrstd="t" o:hr="t"/>
        </w:pict>
      </w:r>
    </w:p>
    <w:bookmarkStart w:id="36" w:name="governance-and-risk-management.md"/>
    <w:p>
      <w:pPr>
        <w:pStyle w:val="Heading3"/>
      </w:pPr>
      <w:r>
        <w:t xml:space="preserve">3.1</w:t>
      </w:r>
      <w:r>
        <w:t xml:space="preserve"> </w:t>
      </w:r>
      <w:r>
        <w:rPr>
          <w:rStyle w:val="VerbatimChar"/>
        </w:rPr>
        <w:t xml:space="preserve">governance-and-risk-management.md</w:t>
      </w:r>
    </w:p>
    <w:p>
      <w:pPr>
        <w:pStyle w:val="Compact"/>
        <w:numPr>
          <w:ilvl w:val="0"/>
          <w:numId w:val="1014"/>
        </w:numPr>
      </w:pPr>
      <w:r>
        <w:rPr>
          <w:b/>
          <w:bCs/>
        </w:rPr>
        <w:t xml:space="preserve">Purpose:</w:t>
      </w:r>
      <w:r>
        <w:t xml:space="preserve"> </w:t>
      </w:r>
      <w:r>
        <w:t xml:space="preserve">Master security &amp; data governance framework, annual risk assessment process, and the Risk Review Committee charter. The</w:t>
      </w:r>
      <w:r>
        <w:t xml:space="preserve"> </w:t>
      </w:r>
      <w:r>
        <w:t xml:space="preserve">“landing”</w:t>
      </w:r>
      <w:r>
        <w:t xml:space="preserve"> </w:t>
      </w:r>
      <w:r>
        <w:t xml:space="preserve">policy that frames everything else.</w:t>
      </w:r>
    </w:p>
    <w:p>
      <w:pPr>
        <w:pStyle w:val="Compact"/>
        <w:numPr>
          <w:ilvl w:val="0"/>
          <w:numId w:val="1014"/>
        </w:numPr>
      </w:pPr>
      <w:r>
        <w:rPr>
          <w:b/>
          <w:bCs/>
        </w:rPr>
        <w:t xml:space="preserve">Source files merged:</w:t>
      </w:r>
    </w:p>
    <w:p>
      <w:pPr>
        <w:pStyle w:val="Compact"/>
        <w:numPr>
          <w:ilvl w:val="1"/>
          <w:numId w:val="1015"/>
        </w:numPr>
      </w:pPr>
      <w:r>
        <w:rPr>
          <w:rStyle w:val="VerbatimChar"/>
        </w:rPr>
        <w:t xml:space="preserve">information-security-framework.md</w:t>
      </w:r>
    </w:p>
    <w:p>
      <w:pPr>
        <w:pStyle w:val="Compact"/>
        <w:numPr>
          <w:ilvl w:val="1"/>
          <w:numId w:val="1015"/>
        </w:numPr>
      </w:pPr>
      <w:r>
        <w:rPr>
          <w:rStyle w:val="VerbatimChar"/>
        </w:rPr>
        <w:t xml:space="preserve">hipaa-risk-management.md</w:t>
      </w:r>
    </w:p>
    <w:p>
      <w:pPr>
        <w:pStyle w:val="Compact"/>
        <w:numPr>
          <w:ilvl w:val="1"/>
          <w:numId w:val="1015"/>
        </w:numPr>
      </w:pPr>
      <w:r>
        <w:t xml:space="preserve">(The</w:t>
      </w:r>
      <w:r>
        <w:t xml:space="preserve"> </w:t>
      </w:r>
      <w:r>
        <w:t xml:space="preserve">“Governance”</w:t>
      </w:r>
      <w:r>
        <w:t xml:space="preserve"> </w:t>
      </w:r>
      <w:r>
        <w:t xml:space="preserve">parts of)</w:t>
      </w:r>
      <w:r>
        <w:t xml:space="preserve"> </w:t>
      </w:r>
      <w:r>
        <w:rPr>
          <w:rStyle w:val="VerbatimChar"/>
        </w:rPr>
        <w:t xml:space="preserve">hipaa-definitions.md</w:t>
      </w:r>
      <w:r>
        <w:t xml:space="preserve"> </w:t>
      </w:r>
      <w:r>
        <w:t xml:space="preserve">§II(r) (Risk Management Team definition — reconcile with Risk Committee in Risk Management policy)</w:t>
      </w:r>
    </w:p>
    <w:p>
      <w:pPr>
        <w:pStyle w:val="Compact"/>
        <w:numPr>
          <w:ilvl w:val="0"/>
          <w:numId w:val="1014"/>
        </w:numPr>
      </w:pPr>
      <w:r>
        <w:rPr>
          <w:b/>
          <w:bCs/>
        </w:rPr>
        <w:t xml:space="preserve">Outline:</w:t>
      </w:r>
    </w:p>
    <w:p>
      <w:pPr>
        <w:pStyle w:val="Compact"/>
        <w:numPr>
          <w:ilvl w:val="1"/>
          <w:numId w:val="1016"/>
        </w:numPr>
      </w:pPr>
      <w:r>
        <w:t xml:space="preserve">Scope &amp; applicability</w:t>
      </w:r>
    </w:p>
    <w:p>
      <w:pPr>
        <w:pStyle w:val="Compact"/>
        <w:numPr>
          <w:ilvl w:val="1"/>
          <w:numId w:val="1016"/>
        </w:numPr>
      </w:pPr>
      <w:r>
        <w:t xml:space="preserve">Roles: Chief Privacy Officer, Chief Security Officer, Risk Review Committee, CTO, CEO</w:t>
      </w:r>
    </w:p>
    <w:p>
      <w:pPr>
        <w:pStyle w:val="Compact"/>
        <w:numPr>
          <w:ilvl w:val="1"/>
          <w:numId w:val="1016"/>
        </w:numPr>
      </w:pPr>
      <w:r>
        <w:t xml:space="preserve">Information security &amp; data governance framework (data classification, access control, encryption-at-a-glance, transmission, logging, retention) — narrative-level only, with pointers to the technical-safeguards doc for the specifics</w:t>
      </w:r>
    </w:p>
    <w:p>
      <w:pPr>
        <w:pStyle w:val="Compact"/>
        <w:numPr>
          <w:ilvl w:val="1"/>
          <w:numId w:val="1016"/>
        </w:numPr>
      </w:pPr>
      <w:r>
        <w:t xml:space="preserve">Annual risk assessment process (universe of ePHI → threat → vulnerability → control analysis → likelihood → impact → risk determination → recommendations → documentation)</w:t>
      </w:r>
    </w:p>
    <w:p>
      <w:pPr>
        <w:pStyle w:val="Compact"/>
        <w:numPr>
          <w:ilvl w:val="1"/>
          <w:numId w:val="1016"/>
        </w:numPr>
      </w:pPr>
      <w:r>
        <w:t xml:space="preserve">Risk mitigation process (prioritize → evaluate controls → cost-benefit → select → assign → implement → monitor)</w:t>
      </w:r>
    </w:p>
    <w:p>
      <w:pPr>
        <w:pStyle w:val="Compact"/>
        <w:numPr>
          <w:ilvl w:val="1"/>
          <w:numId w:val="1016"/>
        </w:numPr>
      </w:pPr>
      <w:r>
        <w:t xml:space="preserve">Risk management schedule (annual / ongoing / as-needed)</w:t>
      </w:r>
    </w:p>
    <w:p>
      <w:pPr>
        <w:pStyle w:val="Compact"/>
        <w:numPr>
          <w:ilvl w:val="1"/>
          <w:numId w:val="1016"/>
        </w:numPr>
      </w:pPr>
      <w:r>
        <w:t xml:space="preserve">Reporting (Risk Review Committee + Board if material; annual report to CEO)</w:t>
      </w:r>
    </w:p>
    <w:p>
      <w:pPr>
        <w:pStyle w:val="Compact"/>
        <w:numPr>
          <w:ilvl w:val="1"/>
          <w:numId w:val="1016"/>
        </w:numPr>
      </w:pPr>
      <w:r>
        <w:t xml:space="preserve">References (45 CFR §164.308(a)(1), NIST SP 800-30)</w:t>
      </w:r>
    </w:p>
    <w:p>
      <w:pPr>
        <w:pStyle w:val="Compact"/>
        <w:numPr>
          <w:ilvl w:val="0"/>
          <w:numId w:val="1014"/>
        </w:numPr>
      </w:pPr>
      <w:r>
        <w:rPr>
          <w:b/>
          <w:bCs/>
        </w:rPr>
        <w:t xml:space="preserve">Estimated final size:</w:t>
      </w:r>
      <w:r>
        <w:t xml:space="preserve"> </w:t>
      </w:r>
      <w:r>
        <w:t xml:space="preserve">~15–18 KB</w:t>
      </w:r>
    </w:p>
    <w:p>
      <w:pPr>
        <w:pStyle w:val="Compact"/>
        <w:numPr>
          <w:ilvl w:val="0"/>
          <w:numId w:val="1014"/>
        </w:numPr>
      </w:pPr>
      <w:r>
        <w:rPr>
          <w:b/>
          <w:bCs/>
        </w:rPr>
        <w:t xml:space="preserve">Risks / what gets lost:</w:t>
      </w:r>
      <w:r>
        <w:t xml:space="preserve"> </w:t>
      </w:r>
      <w:r>
        <w:t xml:space="preserve">The framework’s</w:t>
      </w:r>
      <w:r>
        <w:t xml:space="preserve"> </w:t>
      </w:r>
      <w:r>
        <w:t xml:space="preserve">“Referenced Policies”</w:t>
      </w:r>
      <w:r>
        <w:t xml:space="preserve"> </w:t>
      </w:r>
      <w:r>
        <w:t xml:space="preserve">list with Google Doc hyperlinks should be replaced with relative links to the new consolidated files. Nothing substantive lost.</w:t>
      </w:r>
    </w:p>
    <w:p>
      <w:r>
        <w:pict>
          <v:rect style="width:0;height:1.5pt" o:hralign="center" o:hrstd="t" o:hr="t"/>
        </w:pict>
      </w:r>
    </w:p>
    <w:bookmarkEnd w:id="36"/>
    <w:bookmarkStart w:id="37" w:name="phi-use-and-disclosure.md"/>
    <w:p>
      <w:pPr>
        <w:pStyle w:val="Heading3"/>
      </w:pPr>
      <w:r>
        <w:t xml:space="preserve">3.2</w:t>
      </w:r>
      <w:r>
        <w:t xml:space="preserve"> </w:t>
      </w:r>
      <w:r>
        <w:rPr>
          <w:rStyle w:val="VerbatimChar"/>
        </w:rPr>
        <w:t xml:space="preserve">phi-use-and-disclosure.md</w:t>
      </w:r>
    </w:p>
    <w:p>
      <w:pPr>
        <w:pStyle w:val="Compact"/>
        <w:numPr>
          <w:ilvl w:val="0"/>
          <w:numId w:val="1017"/>
        </w:numPr>
      </w:pPr>
      <w:r>
        <w:rPr>
          <w:b/>
          <w:bCs/>
        </w:rPr>
        <w:t xml:space="preserve">Purpose:</w:t>
      </w:r>
      <w:r>
        <w:t xml:space="preserve"> </w:t>
      </w:r>
      <w:r>
        <w:t xml:space="preserve">All rules governing when and how Millie may use, disclose, request, de-identify, or market with PHI. The</w:t>
      </w:r>
      <w:r>
        <w:t xml:space="preserve"> </w:t>
      </w:r>
      <w:r>
        <w:t xml:space="preserve">“may I send this?”</w:t>
      </w:r>
      <w:r>
        <w:t xml:space="preserve"> </w:t>
      </w:r>
      <w:r>
        <w:t xml:space="preserve">policy.</w:t>
      </w:r>
    </w:p>
    <w:p>
      <w:pPr>
        <w:pStyle w:val="Compact"/>
        <w:numPr>
          <w:ilvl w:val="0"/>
          <w:numId w:val="1017"/>
        </w:numPr>
      </w:pPr>
      <w:r>
        <w:rPr>
          <w:b/>
          <w:bCs/>
        </w:rPr>
        <w:t xml:space="preserve">Source files merged:</w:t>
      </w:r>
    </w:p>
    <w:p>
      <w:pPr>
        <w:pStyle w:val="Compact"/>
        <w:numPr>
          <w:ilvl w:val="1"/>
          <w:numId w:val="1018"/>
        </w:numPr>
      </w:pPr>
      <w:r>
        <w:rPr>
          <w:rStyle w:val="VerbatimChar"/>
        </w:rPr>
        <w:t xml:space="preserve">hipaa-phi-use-and-disclosure.md</w:t>
      </w:r>
    </w:p>
    <w:p>
      <w:pPr>
        <w:pStyle w:val="Compact"/>
        <w:numPr>
          <w:ilvl w:val="1"/>
          <w:numId w:val="1018"/>
        </w:numPr>
      </w:pPr>
      <w:r>
        <w:rPr>
          <w:rStyle w:val="VerbatimChar"/>
        </w:rPr>
        <w:t xml:space="preserve">hipaa-minimum-necessary.md</w:t>
      </w:r>
    </w:p>
    <w:p>
      <w:pPr>
        <w:pStyle w:val="Compact"/>
        <w:numPr>
          <w:ilvl w:val="1"/>
          <w:numId w:val="1018"/>
        </w:numPr>
      </w:pPr>
      <w:r>
        <w:rPr>
          <w:rStyle w:val="VerbatimChar"/>
        </w:rPr>
        <w:t xml:space="preserve">hipaa-de-identifying-phi.md</w:t>
      </w:r>
      <w:r>
        <w:t xml:space="preserve"> </w:t>
      </w:r>
      <w:r>
        <w:t xml:space="preserve">(including Data Use Agreement exhibit)</w:t>
      </w:r>
    </w:p>
    <w:p>
      <w:pPr>
        <w:pStyle w:val="Compact"/>
        <w:numPr>
          <w:ilvl w:val="1"/>
          <w:numId w:val="1018"/>
        </w:numPr>
      </w:pPr>
      <w:r>
        <w:rPr>
          <w:rStyle w:val="VerbatimChar"/>
        </w:rPr>
        <w:t xml:space="preserve">hipaa-marketing.md</w:t>
      </w:r>
    </w:p>
    <w:p>
      <w:pPr>
        <w:pStyle w:val="Compact"/>
        <w:numPr>
          <w:ilvl w:val="0"/>
          <w:numId w:val="1017"/>
        </w:numPr>
      </w:pPr>
      <w:r>
        <w:rPr>
          <w:b/>
          <w:bCs/>
        </w:rPr>
        <w:t xml:space="preserve">Outline:</w:t>
      </w:r>
    </w:p>
    <w:p>
      <w:pPr>
        <w:pStyle w:val="Compact"/>
        <w:numPr>
          <w:ilvl w:val="1"/>
          <w:numId w:val="1019"/>
        </w:numPr>
      </w:pPr>
      <w:r>
        <w:t xml:space="preserve">Scope &amp; applicability</w:t>
      </w:r>
    </w:p>
    <w:p>
      <w:pPr>
        <w:pStyle w:val="Compact"/>
        <w:numPr>
          <w:ilvl w:val="1"/>
          <w:numId w:val="1019"/>
        </w:numPr>
      </w:pPr>
      <w:r>
        <w:t xml:space="preserve">Minimum Necessary Rule (uses, routine vs nonroutine disclosures, exceptions for Treatment)</w:t>
      </w:r>
    </w:p>
    <w:p>
      <w:pPr>
        <w:pStyle w:val="Compact"/>
        <w:numPr>
          <w:ilvl w:val="1"/>
          <w:numId w:val="1019"/>
        </w:numPr>
      </w:pPr>
      <w:r>
        <w:t xml:space="preserve">Permitted uses &amp; disclosures for legal, public health &amp; regulatory purposes (health oversight, public health, law enforcement, judicial proceedings, military, national security, correctional institutions, workers’ compensation, organ donation, threat-to-safety)</w:t>
      </w:r>
    </w:p>
    <w:p>
      <w:pPr>
        <w:pStyle w:val="Compact"/>
        <w:numPr>
          <w:ilvl w:val="1"/>
          <w:numId w:val="1019"/>
        </w:numPr>
      </w:pPr>
      <w:r>
        <w:t xml:space="preserve">De-identification of PHI (Expert Determination + Safe Harbor 18-identifier list)</w:t>
      </w:r>
    </w:p>
    <w:p>
      <w:pPr>
        <w:pStyle w:val="Compact"/>
        <w:numPr>
          <w:ilvl w:val="1"/>
          <w:numId w:val="1019"/>
        </w:numPr>
      </w:pPr>
      <w:r>
        <w:t xml:space="preserve">Re-identification controls</w:t>
      </w:r>
    </w:p>
    <w:p>
      <w:pPr>
        <w:pStyle w:val="Compact"/>
        <w:numPr>
          <w:ilvl w:val="1"/>
          <w:numId w:val="1019"/>
        </w:numPr>
      </w:pPr>
      <w:r>
        <w:t xml:space="preserve">Limited Data Sets &amp; Data Use Agreement requirements (with sample DUA in Appendix A)</w:t>
      </w:r>
    </w:p>
    <w:p>
      <w:pPr>
        <w:pStyle w:val="Compact"/>
        <w:numPr>
          <w:ilvl w:val="1"/>
          <w:numId w:val="1019"/>
        </w:numPr>
      </w:pPr>
      <w:r>
        <w:t xml:space="preserve">Marketing — definition, Financial Remuneration, when authorization is required, exceptions</w:t>
      </w:r>
    </w:p>
    <w:p>
      <w:pPr>
        <w:pStyle w:val="Compact"/>
        <w:numPr>
          <w:ilvl w:val="1"/>
          <w:numId w:val="1019"/>
        </w:numPr>
      </w:pPr>
      <w:r>
        <w:t xml:space="preserve">References (45 CFR §§164.501, 164.502, 164.508, 164.512, 164.514)</w:t>
      </w:r>
    </w:p>
    <w:p>
      <w:pPr>
        <w:pStyle w:val="Compact"/>
        <w:numPr>
          <w:ilvl w:val="1"/>
          <w:numId w:val="1019"/>
        </w:numPr>
      </w:pPr>
      <w:r>
        <w:t xml:space="preserve">Appendix A — Data Use Agreement template</w:t>
      </w:r>
    </w:p>
    <w:p>
      <w:pPr>
        <w:pStyle w:val="Compact"/>
        <w:numPr>
          <w:ilvl w:val="0"/>
          <w:numId w:val="1017"/>
        </w:numPr>
      </w:pPr>
      <w:r>
        <w:rPr>
          <w:b/>
          <w:bCs/>
        </w:rPr>
        <w:t xml:space="preserve">Estimated final size:</w:t>
      </w:r>
      <w:r>
        <w:t xml:space="preserve"> </w:t>
      </w:r>
      <w:r>
        <w:t xml:space="preserve">~38–45 KB</w:t>
      </w:r>
    </w:p>
    <w:p>
      <w:pPr>
        <w:pStyle w:val="Compact"/>
        <w:numPr>
          <w:ilvl w:val="0"/>
          <w:numId w:val="1017"/>
        </w:numPr>
      </w:pPr>
      <w:r>
        <w:rPr>
          <w:b/>
          <w:bCs/>
        </w:rPr>
        <w:t xml:space="preserve">Risks / what gets lost:</w:t>
      </w:r>
      <w:r>
        <w:t xml:space="preserve"> </w:t>
      </w:r>
      <w:r>
        <w:t xml:space="preserve">Need to preserve the verbatim 18-identifier list in §4 (auditors check it). Marketing has a specific definitional structure (Financial Remuneration test) that must be preserved.</w:t>
      </w:r>
    </w:p>
    <w:p>
      <w:pPr>
        <w:pStyle w:val="Compact"/>
        <w:numPr>
          <w:ilvl w:val="0"/>
          <w:numId w:val="1017"/>
        </w:numPr>
      </w:pPr>
      <w:r>
        <w:rPr>
          <w:b/>
          <w:bCs/>
        </w:rPr>
        <w:t xml:space="preserve">Auditor-finding note:</w:t>
      </w:r>
      <w:r>
        <w:t xml:space="preserve"> </w:t>
      </w:r>
      <w:r>
        <w:t xml:space="preserve">even though Marketing collapses into a subsection, the section should be titled exactly</w:t>
      </w:r>
      <w:r>
        <w:t xml:space="preserve"> </w:t>
      </w:r>
      <w:r>
        <w:t xml:space="preserve">“</w:t>
      </w:r>
      <w:r>
        <w:rPr>
          <w:b/>
          <w:bCs/>
        </w:rPr>
        <w:t xml:space="preserve">Marketing &amp; Patient Communications</w:t>
      </w:r>
      <w:r>
        <w:t xml:space="preserve">”</w:t>
      </w:r>
      <w:r>
        <w:t xml:space="preserve"> </w:t>
      </w:r>
      <w:r>
        <w:t xml:space="preserve">so a</w:t>
      </w:r>
      <w:r>
        <w:t xml:space="preserve"> </w:t>
      </w:r>
      <w:r>
        <w:rPr>
          <w:rStyle w:val="VerbatimChar"/>
        </w:rPr>
        <w:t xml:space="preserve">Ctrl-F</w:t>
      </w:r>
      <w:r>
        <w:t xml:space="preserve"> </w:t>
      </w:r>
      <w:r>
        <w:t xml:space="preserve">for</w:t>
      </w:r>
      <w:r>
        <w:t xml:space="preserve"> </w:t>
      </w:r>
      <w:r>
        <w:t xml:space="preserve">“Marketing”</w:t>
      </w:r>
      <w:r>
        <w:t xml:space="preserve"> </w:t>
      </w:r>
      <w:r>
        <w:t xml:space="preserve">in an audit lands on it.</w:t>
      </w:r>
    </w:p>
    <w:p>
      <w:r>
        <w:pict>
          <v:rect style="width:0;height:1.5pt" o:hralign="center" o:hrstd="t" o:hr="t"/>
        </w:pict>
      </w:r>
    </w:p>
    <w:bookmarkEnd w:id="37"/>
    <w:bookmarkStart w:id="38" w:name="patient-rights.md"/>
    <w:p>
      <w:pPr>
        <w:pStyle w:val="Heading3"/>
      </w:pPr>
      <w:r>
        <w:t xml:space="preserve">3.3</w:t>
      </w:r>
      <w:r>
        <w:t xml:space="preserve"> </w:t>
      </w:r>
      <w:r>
        <w:rPr>
          <w:rStyle w:val="VerbatimChar"/>
        </w:rPr>
        <w:t xml:space="preserve">patient-rights.md</w:t>
      </w:r>
    </w:p>
    <w:p>
      <w:pPr>
        <w:pStyle w:val="Compact"/>
        <w:numPr>
          <w:ilvl w:val="0"/>
          <w:numId w:val="1020"/>
        </w:numPr>
      </w:pPr>
      <w:r>
        <w:rPr>
          <w:b/>
          <w:bCs/>
        </w:rPr>
        <w:t xml:space="preserve">Purpose:</w:t>
      </w:r>
      <w:r>
        <w:t xml:space="preserve"> </w:t>
      </w:r>
      <w:r>
        <w:t xml:space="preserve">Patient rights to access, amend, and request an accounting of disclosures of their own PHI. Includes response timelines, denial grounds, and sample letter templates.</w:t>
      </w:r>
    </w:p>
    <w:p>
      <w:pPr>
        <w:pStyle w:val="Compact"/>
        <w:numPr>
          <w:ilvl w:val="0"/>
          <w:numId w:val="1020"/>
        </w:numPr>
      </w:pPr>
      <w:r>
        <w:rPr>
          <w:b/>
          <w:bCs/>
        </w:rPr>
        <w:t xml:space="preserve">Source files merged:</w:t>
      </w:r>
    </w:p>
    <w:p>
      <w:pPr>
        <w:pStyle w:val="Compact"/>
        <w:numPr>
          <w:ilvl w:val="1"/>
          <w:numId w:val="1021"/>
        </w:numPr>
      </w:pPr>
      <w:r>
        <w:rPr>
          <w:rStyle w:val="VerbatimChar"/>
        </w:rPr>
        <w:t xml:space="preserve">hipaa-right-to-access.md</w:t>
      </w:r>
    </w:p>
    <w:p>
      <w:pPr>
        <w:pStyle w:val="Compact"/>
        <w:numPr>
          <w:ilvl w:val="1"/>
          <w:numId w:val="1021"/>
        </w:numPr>
      </w:pPr>
      <w:r>
        <w:rPr>
          <w:rStyle w:val="VerbatimChar"/>
        </w:rPr>
        <w:t xml:space="preserve">hipaa-right-to-amend.md</w:t>
      </w:r>
    </w:p>
    <w:p>
      <w:pPr>
        <w:pStyle w:val="Compact"/>
        <w:numPr>
          <w:ilvl w:val="1"/>
          <w:numId w:val="1021"/>
        </w:numPr>
      </w:pPr>
      <w:r>
        <w:rPr>
          <w:rStyle w:val="VerbatimChar"/>
        </w:rPr>
        <w:t xml:space="preserve">hipaa-accounting-of-disclosures.md</w:t>
      </w:r>
    </w:p>
    <w:p>
      <w:pPr>
        <w:pStyle w:val="Compact"/>
        <w:numPr>
          <w:ilvl w:val="0"/>
          <w:numId w:val="1020"/>
        </w:numPr>
      </w:pPr>
      <w:r>
        <w:rPr>
          <w:b/>
          <w:bCs/>
        </w:rPr>
        <w:t xml:space="preserve">Outline:</w:t>
      </w:r>
    </w:p>
    <w:p>
      <w:pPr>
        <w:pStyle w:val="Compact"/>
        <w:numPr>
          <w:ilvl w:val="1"/>
          <w:numId w:val="1022"/>
        </w:numPr>
      </w:pPr>
      <w:r>
        <w:t xml:space="preserve">Scope &amp; applicability</w:t>
      </w:r>
    </w:p>
    <w:p>
      <w:pPr>
        <w:pStyle w:val="Compact"/>
        <w:numPr>
          <w:ilvl w:val="1"/>
          <w:numId w:val="1022"/>
        </w:numPr>
      </w:pPr>
      <w:r>
        <w:t xml:space="preserve">Right to inspect &amp; obtain copies of PHI (30-day rule, manner of access, fees, electronic format requirements, patient portal)</w:t>
      </w:r>
    </w:p>
    <w:p>
      <w:pPr>
        <w:pStyle w:val="Compact"/>
        <w:numPr>
          <w:ilvl w:val="2"/>
          <w:numId w:val="1023"/>
        </w:numPr>
      </w:pPr>
      <w:r>
        <w:t xml:space="preserve">Denial grounds (reviewable vs non-reviewable)</w:t>
      </w:r>
    </w:p>
    <w:p>
      <w:pPr>
        <w:pStyle w:val="Compact"/>
        <w:numPr>
          <w:ilvl w:val="2"/>
          <w:numId w:val="1023"/>
        </w:numPr>
      </w:pPr>
      <w:r>
        <w:t xml:space="preserve">Personal representatives, parents/guardians</w:t>
      </w:r>
    </w:p>
    <w:p>
      <w:pPr>
        <w:pStyle w:val="Compact"/>
        <w:numPr>
          <w:ilvl w:val="1"/>
          <w:numId w:val="1022"/>
        </w:numPr>
      </w:pPr>
      <w:r>
        <w:t xml:space="preserve">Right to request amendment of PHI (60-day rule, acceptance/denial mechanics, statement of disagreement, amendments by other covered entities)</w:t>
      </w:r>
    </w:p>
    <w:p>
      <w:pPr>
        <w:pStyle w:val="Compact"/>
        <w:numPr>
          <w:ilvl w:val="1"/>
          <w:numId w:val="1022"/>
        </w:numPr>
      </w:pPr>
      <w:r>
        <w:t xml:space="preserve">Right to accounting of disclosures (6-year window, what’s in vs excluded, tracking process, fees)</w:t>
      </w:r>
    </w:p>
    <w:p>
      <w:pPr>
        <w:pStyle w:val="Compact"/>
        <w:numPr>
          <w:ilvl w:val="1"/>
          <w:numId w:val="1022"/>
        </w:numPr>
      </w:pPr>
      <w:r>
        <w:t xml:space="preserve">References (45 CFR §§164.524, 164.526, 164.528)</w:t>
      </w:r>
    </w:p>
    <w:p>
      <w:pPr>
        <w:pStyle w:val="Compact"/>
        <w:numPr>
          <w:ilvl w:val="1"/>
          <w:numId w:val="1022"/>
        </w:numPr>
      </w:pPr>
      <w:r>
        <w:t xml:space="preserve">Appendix A — Sample letter templates (access denial, access acceptance, amendment denial, amendment acceptance, amendment rebuttal, extension)</w:t>
      </w:r>
    </w:p>
    <w:p>
      <w:pPr>
        <w:pStyle w:val="Compact"/>
        <w:numPr>
          <w:ilvl w:val="0"/>
          <w:numId w:val="1020"/>
        </w:numPr>
      </w:pPr>
      <w:r>
        <w:rPr>
          <w:b/>
          <w:bCs/>
        </w:rPr>
        <w:t xml:space="preserve">Estimated final size:</w:t>
      </w:r>
      <w:r>
        <w:t xml:space="preserve"> </w:t>
      </w:r>
      <w:r>
        <w:t xml:space="preserve">~38–42 KB</w:t>
      </w:r>
    </w:p>
    <w:p>
      <w:pPr>
        <w:pStyle w:val="Compact"/>
        <w:numPr>
          <w:ilvl w:val="0"/>
          <w:numId w:val="1020"/>
        </w:numPr>
      </w:pPr>
      <w:r>
        <w:rPr>
          <w:b/>
          <w:bCs/>
        </w:rPr>
        <w:t xml:space="preserve">Risks / what gets lost:</w:t>
      </w:r>
      <w:r>
        <w:t xml:space="preserve"> </w:t>
      </w:r>
      <w:r>
        <w:t xml:space="preserve">The reference to a missing</w:t>
      </w:r>
      <w:r>
        <w:t xml:space="preserve"> </w:t>
      </w:r>
      <w:r>
        <w:t xml:space="preserve">“Information Blocking Compliance Policy”</w:t>
      </w:r>
      <w:r>
        <w:t xml:space="preserve"> </w:t>
      </w:r>
      <w:r>
        <w:t xml:space="preserve">(in current</w:t>
      </w:r>
      <w:r>
        <w:t xml:space="preserve"> </w:t>
      </w:r>
      <w:r>
        <w:rPr>
          <w:rStyle w:val="VerbatimChar"/>
        </w:rPr>
        <w:t xml:space="preserve">hipaa-right-to-access.md</w:t>
      </w:r>
      <w:r>
        <w:t xml:space="preserve">) needs to be either written or inlined. Recommend inlining the EHI definition and removing the broken cross-reference.</w:t>
      </w:r>
    </w:p>
    <w:p>
      <w:r>
        <w:pict>
          <v:rect style="width:0;height:1.5pt" o:hralign="center" o:hrstd="t" o:hr="t"/>
        </w:pict>
      </w:r>
    </w:p>
    <w:bookmarkEnd w:id="38"/>
    <w:bookmarkStart w:id="39" w:name="technical-safeguards.md"/>
    <w:p>
      <w:pPr>
        <w:pStyle w:val="Heading3"/>
      </w:pPr>
      <w:r>
        <w:t xml:space="preserve">3.4</w:t>
      </w:r>
      <w:r>
        <w:t xml:space="preserve"> </w:t>
      </w:r>
      <w:r>
        <w:rPr>
          <w:rStyle w:val="VerbatimChar"/>
        </w:rPr>
        <w:t xml:space="preserve">technical-safeguards.md</w:t>
      </w:r>
    </w:p>
    <w:p>
      <w:pPr>
        <w:pStyle w:val="Compact"/>
        <w:numPr>
          <w:ilvl w:val="0"/>
          <w:numId w:val="1024"/>
        </w:numPr>
      </w:pPr>
      <w:r>
        <w:rPr>
          <w:b/>
          <w:bCs/>
        </w:rPr>
        <w:t xml:space="preserve">Purpose:</w:t>
      </w:r>
      <w:r>
        <w:t xml:space="preserve"> </w:t>
      </w:r>
      <w:r>
        <w:t xml:space="preserve">All technical and endpoint controls that protect PHI: encryption, passwords/auth, remote access, workstation use, device &amp; media management.</w:t>
      </w:r>
    </w:p>
    <w:p>
      <w:pPr>
        <w:pStyle w:val="Compact"/>
        <w:numPr>
          <w:ilvl w:val="0"/>
          <w:numId w:val="1024"/>
        </w:numPr>
      </w:pPr>
      <w:r>
        <w:rPr>
          <w:b/>
          <w:bCs/>
        </w:rPr>
        <w:t xml:space="preserve">Source files merged:</w:t>
      </w:r>
    </w:p>
    <w:p>
      <w:pPr>
        <w:pStyle w:val="Compact"/>
        <w:numPr>
          <w:ilvl w:val="1"/>
          <w:numId w:val="1025"/>
        </w:numPr>
      </w:pPr>
      <w:r>
        <w:rPr>
          <w:rStyle w:val="VerbatimChar"/>
        </w:rPr>
        <w:t xml:space="preserve">hipaa-encryption.md</w:t>
      </w:r>
    </w:p>
    <w:p>
      <w:pPr>
        <w:pStyle w:val="Compact"/>
        <w:numPr>
          <w:ilvl w:val="1"/>
          <w:numId w:val="1025"/>
        </w:numPr>
      </w:pPr>
      <w:r>
        <w:rPr>
          <w:rStyle w:val="VerbatimChar"/>
        </w:rPr>
        <w:t xml:space="preserve">hipaa-passwords.md</w:t>
      </w:r>
    </w:p>
    <w:p>
      <w:pPr>
        <w:pStyle w:val="Compact"/>
        <w:numPr>
          <w:ilvl w:val="1"/>
          <w:numId w:val="1025"/>
        </w:numPr>
      </w:pPr>
      <w:r>
        <w:rPr>
          <w:rStyle w:val="VerbatimChar"/>
        </w:rPr>
        <w:t xml:space="preserve">hipaa-remote-access.md</w:t>
      </w:r>
    </w:p>
    <w:p>
      <w:pPr>
        <w:pStyle w:val="Compact"/>
        <w:numPr>
          <w:ilvl w:val="1"/>
          <w:numId w:val="1025"/>
        </w:numPr>
      </w:pPr>
      <w:r>
        <w:rPr>
          <w:rStyle w:val="VerbatimChar"/>
        </w:rPr>
        <w:t xml:space="preserve">hipaa-workstation-use.md</w:t>
      </w:r>
    </w:p>
    <w:p>
      <w:pPr>
        <w:pStyle w:val="Compact"/>
        <w:numPr>
          <w:ilvl w:val="1"/>
          <w:numId w:val="1025"/>
        </w:numPr>
      </w:pPr>
      <w:r>
        <w:t xml:space="preserve">The Device &amp; Media Management content currently buried in</w:t>
      </w:r>
      <w:r>
        <w:t xml:space="preserve"> </w:t>
      </w:r>
      <w:r>
        <w:rPr>
          <w:rStyle w:val="VerbatimChar"/>
        </w:rPr>
        <w:t xml:space="preserve">privacy-policy.md</w:t>
      </w:r>
      <w:r>
        <w:t xml:space="preserve"> </w:t>
      </w:r>
      <w:r>
        <w:t xml:space="preserve">lines 564–609 ⚠️ MUST RESCUE</w:t>
      </w:r>
    </w:p>
    <w:p>
      <w:pPr>
        <w:pStyle w:val="Compact"/>
        <w:numPr>
          <w:ilvl w:val="0"/>
          <w:numId w:val="1024"/>
        </w:numPr>
      </w:pPr>
      <w:r>
        <w:rPr>
          <w:b/>
          <w:bCs/>
        </w:rPr>
        <w:t xml:space="preserve">Outline:</w:t>
      </w:r>
    </w:p>
    <w:p>
      <w:pPr>
        <w:pStyle w:val="Compact"/>
        <w:numPr>
          <w:ilvl w:val="1"/>
          <w:numId w:val="1026"/>
        </w:numPr>
      </w:pPr>
      <w:r>
        <w:t xml:space="preserve">Scope &amp; applicability</w:t>
      </w:r>
    </w:p>
    <w:p>
      <w:pPr>
        <w:pStyle w:val="Compact"/>
        <w:numPr>
          <w:ilvl w:val="1"/>
          <w:numId w:val="1026"/>
        </w:numPr>
      </w:pPr>
      <w:r>
        <w:t xml:space="preserve">Access control &amp; authentication (unique user IDs, RBAC, least privilege, MFA, password construction rules, mobile passcode rules, prohibited behaviors, password manager guidance, deactivation)</w:t>
      </w:r>
    </w:p>
    <w:p>
      <w:pPr>
        <w:pStyle w:val="Compact"/>
        <w:numPr>
          <w:ilvl w:val="1"/>
          <w:numId w:val="1026"/>
        </w:numPr>
      </w:pPr>
      <w:r>
        <w:t xml:space="preserve">Encryption (data in transit — FIPS 140-2, NIST SP 800-52/77/113; data at rest — NIST SP 800-111; key management; deactivation of keys on termination)</w:t>
      </w:r>
    </w:p>
    <w:p>
      <w:pPr>
        <w:pStyle w:val="Compact"/>
        <w:numPr>
          <w:ilvl w:val="1"/>
          <w:numId w:val="1026"/>
        </w:numPr>
      </w:pPr>
      <w:r>
        <w:t xml:space="preserve">Workstation use (lock timers, screen savers, mobile phones &amp; iPads, prohibited configurations, data storage locations)</w:t>
      </w:r>
    </w:p>
    <w:p>
      <w:pPr>
        <w:pStyle w:val="Compact"/>
        <w:numPr>
          <w:ilvl w:val="1"/>
          <w:numId w:val="1026"/>
        </w:numPr>
      </w:pPr>
      <w:r>
        <w:t xml:space="preserve">Remote access (authorization, VPN, MFA, equipment handling, termination of privileges, monitoring)</w:t>
      </w:r>
    </w:p>
    <w:p>
      <w:pPr>
        <w:pStyle w:val="Compact"/>
        <w:numPr>
          <w:ilvl w:val="1"/>
          <w:numId w:val="1026"/>
        </w:numPr>
      </w:pPr>
      <w:r>
        <w:t xml:space="preserve">Device &amp; media management (inventory, receipt/removal logs, disposal, reuse, NIST sanitization standards)</w:t>
      </w:r>
    </w:p>
    <w:p>
      <w:pPr>
        <w:pStyle w:val="Compact"/>
        <w:numPr>
          <w:ilvl w:val="1"/>
          <w:numId w:val="1026"/>
        </w:numPr>
      </w:pPr>
      <w:r>
        <w:t xml:space="preserve">Termination &amp; role change (immediate revocation across passwords, remote access, encryption keys, device inventory) — single consolidated checklist</w:t>
      </w:r>
    </w:p>
    <w:p>
      <w:pPr>
        <w:pStyle w:val="Compact"/>
        <w:numPr>
          <w:ilvl w:val="1"/>
          <w:numId w:val="1026"/>
        </w:numPr>
      </w:pPr>
      <w:r>
        <w:t xml:space="preserve">References (45 CFR §§164.308(a)(5), 164.310(b), 164.310(d), 164.312)</w:t>
      </w:r>
    </w:p>
    <w:p>
      <w:pPr>
        <w:pStyle w:val="Compact"/>
        <w:numPr>
          <w:ilvl w:val="0"/>
          <w:numId w:val="1024"/>
        </w:numPr>
      </w:pPr>
      <w:r>
        <w:rPr>
          <w:b/>
          <w:bCs/>
        </w:rPr>
        <w:t xml:space="preserve">Estimated final size:</w:t>
      </w:r>
      <w:r>
        <w:t xml:space="preserve"> </w:t>
      </w:r>
      <w:r>
        <w:t xml:space="preserve">~32–38 KB</w:t>
      </w:r>
    </w:p>
    <w:p>
      <w:pPr>
        <w:pStyle w:val="Compact"/>
        <w:numPr>
          <w:ilvl w:val="0"/>
          <w:numId w:val="1024"/>
        </w:numPr>
      </w:pPr>
      <w:r>
        <w:rPr>
          <w:b/>
          <w:bCs/>
        </w:rPr>
        <w:t xml:space="preserve">Risks / what gets lost:</w:t>
      </w:r>
      <w:r>
        <w:t xml:space="preserve"> </w:t>
      </w:r>
      <w:r>
        <w:t xml:space="preserve">This is the highest-risk merge because it pulls together 4 separately-numbered HIPAA policies (IT-001, IT-002, IT-005, IT-006) plus the orphaned IT-004. Auditors looking for</w:t>
      </w:r>
      <w:r>
        <w:t xml:space="preserve"> </w:t>
      </w:r>
      <w:r>
        <w:t xml:space="preserve">“Password Policy”</w:t>
      </w:r>
      <w:r>
        <w:t xml:space="preserve"> </w:t>
      </w:r>
      <w:r>
        <w:t xml:space="preserve">by name will need to land on section 2;</w:t>
      </w:r>
      <w:r>
        <w:t xml:space="preserve"> </w:t>
      </w:r>
      <w:r>
        <w:t xml:space="preserve">“Encryption Policy”</w:t>
      </w:r>
      <w:r>
        <w:t xml:space="preserve"> </w:t>
      </w:r>
      <w:r>
        <w:t xml:space="preserve">on section 3; etc. Preserve the original Policy # numbers in section headers so an audit reference like</w:t>
      </w:r>
      <w:r>
        <w:t xml:space="preserve"> </w:t>
      </w:r>
      <w:r>
        <w:t xml:space="preserve">“IT-005”</w:t>
      </w:r>
      <w:r>
        <w:t xml:space="preserve"> </w:t>
      </w:r>
      <w:r>
        <w:t xml:space="preserve">still resolves.</w:t>
      </w:r>
    </w:p>
    <w:p>
      <w:pPr>
        <w:pStyle w:val="Compact"/>
        <w:numPr>
          <w:ilvl w:val="0"/>
          <w:numId w:val="1024"/>
        </w:numPr>
      </w:pPr>
      <w:r>
        <w:rPr>
          <w:b/>
          <w:bCs/>
        </w:rPr>
        <w:t xml:space="preserve">MUST PRESERVE verbatim:</w:t>
      </w:r>
    </w:p>
    <w:p>
      <w:pPr>
        <w:pStyle w:val="Compact"/>
        <w:numPr>
          <w:ilvl w:val="1"/>
          <w:numId w:val="1027"/>
        </w:numPr>
      </w:pPr>
      <w:r>
        <w:t xml:space="preserve">The 8-character + character-class password construction rules</w:t>
      </w:r>
    </w:p>
    <w:p>
      <w:pPr>
        <w:pStyle w:val="Compact"/>
        <w:numPr>
          <w:ilvl w:val="1"/>
          <w:numId w:val="1027"/>
        </w:numPr>
      </w:pPr>
      <w:r>
        <w:t xml:space="preserve">The FIPS 140-2 / NIST SP 800-52/77/111/113 encryption standards</w:t>
      </w:r>
    </w:p>
    <w:p>
      <w:pPr>
        <w:pStyle w:val="Compact"/>
        <w:numPr>
          <w:ilvl w:val="1"/>
          <w:numId w:val="1027"/>
        </w:numPr>
      </w:pPr>
      <w:r>
        <w:t xml:space="preserve">The</w:t>
      </w:r>
      <w:r>
        <w:t xml:space="preserve"> </w:t>
      </w:r>
      <w:r>
        <w:t xml:space="preserve">“no PHI on hard drives”</w:t>
      </w:r>
      <w:r>
        <w:t xml:space="preserve"> </w:t>
      </w:r>
      <w:r>
        <w:t xml:space="preserve">rule</w:t>
      </w:r>
    </w:p>
    <w:p>
      <w:pPr>
        <w:pStyle w:val="Compact"/>
        <w:numPr>
          <w:ilvl w:val="1"/>
          <w:numId w:val="1027"/>
        </w:numPr>
      </w:pPr>
      <w:r>
        <w:t xml:space="preserve">The mobile passcode 6/8-digit rule</w:t>
      </w:r>
    </w:p>
    <w:p>
      <w:r>
        <w:pict>
          <v:rect style="width:0;height:1.5pt" o:hralign="center" o:hrstd="t" o:hr="t"/>
        </w:pict>
      </w:r>
    </w:p>
    <w:bookmarkEnd w:id="39"/>
    <w:bookmarkStart w:id="40" w:name="operational-safeguards.md"/>
    <w:p>
      <w:pPr>
        <w:pStyle w:val="Heading3"/>
      </w:pPr>
      <w:r>
        <w:t xml:space="preserve">3.5</w:t>
      </w:r>
      <w:r>
        <w:t xml:space="preserve"> </w:t>
      </w:r>
      <w:r>
        <w:rPr>
          <w:rStyle w:val="VerbatimChar"/>
        </w:rPr>
        <w:t xml:space="preserve">operational-safeguards.md</w:t>
      </w:r>
    </w:p>
    <w:p>
      <w:pPr>
        <w:pStyle w:val="Compact"/>
        <w:numPr>
          <w:ilvl w:val="0"/>
          <w:numId w:val="1028"/>
        </w:numPr>
      </w:pPr>
      <w:r>
        <w:rPr>
          <w:b/>
          <w:bCs/>
        </w:rPr>
        <w:t xml:space="preserve">Purpose:</w:t>
      </w:r>
      <w:r>
        <w:t xml:space="preserve"> </w:t>
      </w:r>
      <w:r>
        <w:t xml:space="preserve">Administrative + physical safeguards that don’t fit the technical bucket: oral/fax/email/text/voicemail protocols, paper document handling, facility security, and business continuity.</w:t>
      </w:r>
    </w:p>
    <w:p>
      <w:pPr>
        <w:pStyle w:val="Compact"/>
        <w:numPr>
          <w:ilvl w:val="0"/>
          <w:numId w:val="1028"/>
        </w:numPr>
      </w:pPr>
      <w:r>
        <w:rPr>
          <w:b/>
          <w:bCs/>
        </w:rPr>
        <w:t xml:space="preserve">Source files merged:</w:t>
      </w:r>
    </w:p>
    <w:p>
      <w:pPr>
        <w:pStyle w:val="Compact"/>
        <w:numPr>
          <w:ilvl w:val="1"/>
          <w:numId w:val="1029"/>
        </w:numPr>
      </w:pPr>
      <w:r>
        <w:rPr>
          <w:rStyle w:val="VerbatimChar"/>
        </w:rPr>
        <w:t xml:space="preserve">hipaa-safeguards.md</w:t>
      </w:r>
      <w:r>
        <w:t xml:space="preserve"> </w:t>
      </w:r>
      <w:r>
        <w:t xml:space="preserve">(administrative + physical sections; the technical parts move to §3.4 above)</w:t>
      </w:r>
    </w:p>
    <w:p>
      <w:pPr>
        <w:pStyle w:val="Compact"/>
        <w:numPr>
          <w:ilvl w:val="1"/>
          <w:numId w:val="1029"/>
        </w:numPr>
      </w:pPr>
      <w:r>
        <w:rPr>
          <w:rStyle w:val="VerbatimChar"/>
        </w:rPr>
        <w:t xml:space="preserve">hipaa-paper-documents.md</w:t>
      </w:r>
    </w:p>
    <w:p>
      <w:pPr>
        <w:pStyle w:val="Compact"/>
        <w:numPr>
          <w:ilvl w:val="1"/>
          <w:numId w:val="1029"/>
        </w:numPr>
      </w:pPr>
      <w:r>
        <w:rPr>
          <w:rStyle w:val="VerbatimChar"/>
        </w:rPr>
        <w:t xml:space="preserve">hipaa-contingency-planning.md</w:t>
      </w:r>
    </w:p>
    <w:p>
      <w:pPr>
        <w:pStyle w:val="Compact"/>
        <w:numPr>
          <w:ilvl w:val="0"/>
          <w:numId w:val="1028"/>
        </w:numPr>
      </w:pPr>
      <w:r>
        <w:rPr>
          <w:b/>
          <w:bCs/>
        </w:rPr>
        <w:t xml:space="preserve">Outline:</w:t>
      </w:r>
    </w:p>
    <w:p>
      <w:pPr>
        <w:pStyle w:val="Compact"/>
        <w:numPr>
          <w:ilvl w:val="1"/>
          <w:numId w:val="1030"/>
        </w:numPr>
      </w:pPr>
      <w:r>
        <w:t xml:space="preserve">Scope &amp; applicability</w:t>
      </w:r>
    </w:p>
    <w:p>
      <w:pPr>
        <w:pStyle w:val="Compact"/>
        <w:numPr>
          <w:ilvl w:val="1"/>
          <w:numId w:val="1030"/>
        </w:numPr>
      </w:pPr>
      <w:r>
        <w:t xml:space="preserve">Administrative safeguards</w:t>
      </w:r>
    </w:p>
    <w:p>
      <w:pPr>
        <w:pStyle w:val="Compact"/>
        <w:numPr>
          <w:ilvl w:val="2"/>
          <w:numId w:val="1031"/>
        </w:numPr>
      </w:pPr>
      <w:r>
        <w:t xml:space="preserve">Oral communications</w:t>
      </w:r>
    </w:p>
    <w:p>
      <w:pPr>
        <w:pStyle w:val="Compact"/>
        <w:numPr>
          <w:ilvl w:val="2"/>
          <w:numId w:val="1031"/>
        </w:numPr>
      </w:pPr>
      <w:r>
        <w:t xml:space="preserve">Facsimile transmissions</w:t>
      </w:r>
    </w:p>
    <w:p>
      <w:pPr>
        <w:pStyle w:val="Compact"/>
        <w:numPr>
          <w:ilvl w:val="2"/>
          <w:numId w:val="1031"/>
        </w:numPr>
      </w:pPr>
      <w:r>
        <w:t xml:space="preserve">Telephone protocols (including voicemail/appointment reminders)</w:t>
      </w:r>
    </w:p>
    <w:p>
      <w:pPr>
        <w:pStyle w:val="Compact"/>
        <w:numPr>
          <w:ilvl w:val="2"/>
          <w:numId w:val="1031"/>
        </w:numPr>
      </w:pPr>
      <w:r>
        <w:t xml:space="preserve">Email protocols</w:t>
      </w:r>
    </w:p>
    <w:p>
      <w:pPr>
        <w:pStyle w:val="Compact"/>
        <w:numPr>
          <w:ilvl w:val="2"/>
          <w:numId w:val="1031"/>
        </w:numPr>
      </w:pPr>
      <w:r>
        <w:t xml:space="preserve">Texting</w:t>
      </w:r>
    </w:p>
    <w:p>
      <w:pPr>
        <w:pStyle w:val="Compact"/>
        <w:numPr>
          <w:ilvl w:val="2"/>
          <w:numId w:val="1031"/>
        </w:numPr>
      </w:pPr>
      <w:r>
        <w:t xml:space="preserve">Social media</w:t>
      </w:r>
    </w:p>
    <w:p>
      <w:pPr>
        <w:pStyle w:val="Compact"/>
        <w:numPr>
          <w:ilvl w:val="2"/>
          <w:numId w:val="1031"/>
        </w:numPr>
      </w:pPr>
      <w:r>
        <w:t xml:space="preserve">Disposal of PHI (general principle)</w:t>
      </w:r>
    </w:p>
    <w:p>
      <w:pPr>
        <w:pStyle w:val="Compact"/>
        <w:numPr>
          <w:ilvl w:val="1"/>
          <w:numId w:val="1030"/>
        </w:numPr>
      </w:pPr>
      <w:r>
        <w:t xml:space="preserve">Physical safeguards</w:t>
      </w:r>
    </w:p>
    <w:p>
      <w:pPr>
        <w:pStyle w:val="Compact"/>
        <w:numPr>
          <w:ilvl w:val="2"/>
          <w:numId w:val="1032"/>
        </w:numPr>
      </w:pPr>
      <w:r>
        <w:t xml:space="preserve">Facility security plan</w:t>
      </w:r>
    </w:p>
    <w:p>
      <w:pPr>
        <w:pStyle w:val="Compact"/>
        <w:numPr>
          <w:ilvl w:val="2"/>
          <w:numId w:val="1032"/>
        </w:numPr>
      </w:pPr>
      <w:r>
        <w:t xml:space="preserve">Access control &amp; visitor validation</w:t>
      </w:r>
    </w:p>
    <w:p>
      <w:pPr>
        <w:pStyle w:val="Compact"/>
        <w:numPr>
          <w:ilvl w:val="2"/>
          <w:numId w:val="1032"/>
        </w:numPr>
      </w:pPr>
      <w:r>
        <w:t xml:space="preserve">PHI storage (locked cabinets, public-area precautions)</w:t>
      </w:r>
    </w:p>
    <w:p>
      <w:pPr>
        <w:pStyle w:val="Compact"/>
        <w:numPr>
          <w:ilvl w:val="1"/>
          <w:numId w:val="1030"/>
        </w:numPr>
      </w:pPr>
      <w:r>
        <w:t xml:space="preserve">Paper document management</w:t>
      </w:r>
    </w:p>
    <w:p>
      <w:pPr>
        <w:pStyle w:val="Compact"/>
        <w:numPr>
          <w:ilvl w:val="2"/>
          <w:numId w:val="1033"/>
        </w:numPr>
      </w:pPr>
      <w:r>
        <w:t xml:space="preserve">Handling (clean-desk, printers/copiers, mailing)</w:t>
      </w:r>
    </w:p>
    <w:p>
      <w:pPr>
        <w:pStyle w:val="Compact"/>
        <w:numPr>
          <w:ilvl w:val="2"/>
          <w:numId w:val="1033"/>
        </w:numPr>
      </w:pPr>
      <w:r>
        <w:t xml:space="preserve">Storage (locked cabinets, key control)</w:t>
      </w:r>
    </w:p>
    <w:p>
      <w:pPr>
        <w:pStyle w:val="Compact"/>
        <w:numPr>
          <w:ilvl w:val="2"/>
          <w:numId w:val="1033"/>
        </w:numPr>
      </w:pPr>
      <w:r>
        <w:t xml:space="preserve">Destruction (in-house shredding, third-party shredding via BAA, certificates of destruction)</w:t>
      </w:r>
    </w:p>
    <w:p>
      <w:pPr>
        <w:pStyle w:val="Compact"/>
        <w:numPr>
          <w:ilvl w:val="1"/>
          <w:numId w:val="1030"/>
        </w:numPr>
      </w:pPr>
      <w:r>
        <w:t xml:space="preserve">Contingency planning</w:t>
      </w:r>
    </w:p>
    <w:p>
      <w:pPr>
        <w:pStyle w:val="Compact"/>
        <w:numPr>
          <w:ilvl w:val="2"/>
          <w:numId w:val="1034"/>
        </w:numPr>
      </w:pPr>
      <w:r>
        <w:t xml:space="preserve">Personnel safety priority</w:t>
      </w:r>
    </w:p>
    <w:p>
      <w:pPr>
        <w:pStyle w:val="Compact"/>
        <w:numPr>
          <w:ilvl w:val="2"/>
          <w:numId w:val="1034"/>
        </w:numPr>
      </w:pPr>
      <w:r>
        <w:t xml:space="preserve">Data &amp; software backup (encrypted, offsite, quarterly review)</w:t>
      </w:r>
    </w:p>
    <w:p>
      <w:pPr>
        <w:pStyle w:val="Compact"/>
        <w:numPr>
          <w:ilvl w:val="2"/>
          <w:numId w:val="1034"/>
        </w:numPr>
      </w:pPr>
      <w:r>
        <w:t xml:space="preserve">IT system inventory</w:t>
      </w:r>
    </w:p>
    <w:p>
      <w:pPr>
        <w:pStyle w:val="Compact"/>
        <w:numPr>
          <w:ilvl w:val="2"/>
          <w:numId w:val="1034"/>
        </w:numPr>
      </w:pPr>
      <w:r>
        <w:t xml:space="preserve">Disaster recovery plan</w:t>
      </w:r>
    </w:p>
    <w:p>
      <w:pPr>
        <w:pStyle w:val="Compact"/>
        <w:numPr>
          <w:ilvl w:val="2"/>
          <w:numId w:val="1034"/>
        </w:numPr>
      </w:pPr>
      <w:r>
        <w:t xml:space="preserve">Emergency operations</w:t>
      </w:r>
    </w:p>
    <w:p>
      <w:pPr>
        <w:pStyle w:val="Compact"/>
        <w:numPr>
          <w:ilvl w:val="2"/>
          <w:numId w:val="1034"/>
        </w:numPr>
      </w:pPr>
      <w:r>
        <w:t xml:space="preserve">Confidentiality of the plan</w:t>
      </w:r>
    </w:p>
    <w:p>
      <w:pPr>
        <w:pStyle w:val="Compact"/>
        <w:numPr>
          <w:ilvl w:val="2"/>
          <w:numId w:val="1034"/>
        </w:numPr>
      </w:pPr>
      <w:r>
        <w:t xml:space="preserve">Insurance</w:t>
      </w:r>
    </w:p>
    <w:p>
      <w:pPr>
        <w:pStyle w:val="Compact"/>
        <w:numPr>
          <w:ilvl w:val="1"/>
          <w:numId w:val="1030"/>
        </w:numPr>
      </w:pPr>
      <w:r>
        <w:t xml:space="preserve">Training (annual + on-hire)</w:t>
      </w:r>
    </w:p>
    <w:p>
      <w:pPr>
        <w:pStyle w:val="Compact"/>
        <w:numPr>
          <w:ilvl w:val="1"/>
          <w:numId w:val="1030"/>
        </w:numPr>
      </w:pPr>
      <w:r>
        <w:t xml:space="preserve">References (45 CFR §§164.308(a)(7), 164.310, 164.316(b)(1), 164.530)</w:t>
      </w:r>
    </w:p>
    <w:p>
      <w:pPr>
        <w:pStyle w:val="Compact"/>
        <w:numPr>
          <w:ilvl w:val="0"/>
          <w:numId w:val="1028"/>
        </w:numPr>
      </w:pPr>
      <w:r>
        <w:rPr>
          <w:b/>
          <w:bCs/>
        </w:rPr>
        <w:t xml:space="preserve">Estimated final size:</w:t>
      </w:r>
      <w:r>
        <w:t xml:space="preserve"> </w:t>
      </w:r>
      <w:r>
        <w:t xml:space="preserve">~25–30 KB</w:t>
      </w:r>
    </w:p>
    <w:p>
      <w:pPr>
        <w:pStyle w:val="Compact"/>
        <w:numPr>
          <w:ilvl w:val="0"/>
          <w:numId w:val="1028"/>
        </w:numPr>
      </w:pPr>
      <w:r>
        <w:rPr>
          <w:b/>
          <w:bCs/>
        </w:rPr>
        <w:t xml:space="preserve">Risks / what gets lost:</w:t>
      </w:r>
      <w:r>
        <w:t xml:space="preserve"> </w:t>
      </w:r>
      <w:r>
        <w:t xml:space="preserve">Contingency Planning is a HIPAA Security Rule requirement that auditors look for by name (§164.308(a)(7)). Make sure section 5 has a clear top-level anchor and that the README + Compliance Calendar references it correctly.</w:t>
      </w:r>
    </w:p>
    <w:p>
      <w:r>
        <w:pict>
          <v:rect style="width:0;height:1.5pt" o:hralign="center" o:hrstd="t" o:hr="t"/>
        </w:pict>
      </w:r>
    </w:p>
    <w:bookmarkEnd w:id="40"/>
    <w:bookmarkStart w:id="41" w:name="incident-and-breach-response.md"/>
    <w:p>
      <w:pPr>
        <w:pStyle w:val="Heading3"/>
      </w:pPr>
      <w:r>
        <w:t xml:space="preserve">3.6</w:t>
      </w:r>
      <w:r>
        <w:t xml:space="preserve"> </w:t>
      </w:r>
      <w:r>
        <w:rPr>
          <w:rStyle w:val="VerbatimChar"/>
        </w:rPr>
        <w:t xml:space="preserve">incident-and-breach-response.md</w:t>
      </w:r>
    </w:p>
    <w:p>
      <w:pPr>
        <w:pStyle w:val="Compact"/>
        <w:numPr>
          <w:ilvl w:val="0"/>
          <w:numId w:val="1035"/>
        </w:numPr>
      </w:pPr>
      <w:r>
        <w:rPr>
          <w:b/>
          <w:bCs/>
        </w:rPr>
        <w:t xml:space="preserve">Purpose:</w:t>
      </w:r>
      <w:r>
        <w:t xml:space="preserve"> </w:t>
      </w:r>
      <w:r>
        <w:t xml:space="preserve">Detection, triage, internal response, and external notification when PHI is (or might be) compromised. Covers both the technical</w:t>
      </w:r>
      <w:r>
        <w:t xml:space="preserve"> </w:t>
      </w:r>
      <w:r>
        <w:t xml:space="preserve">“security incident”</w:t>
      </w:r>
      <w:r>
        <w:t xml:space="preserve"> </w:t>
      </w:r>
      <w:r>
        <w:t xml:space="preserve">track and the regulatory</w:t>
      </w:r>
      <w:r>
        <w:t xml:space="preserve"> </w:t>
      </w:r>
      <w:r>
        <w:t xml:space="preserve">“breach notification”</w:t>
      </w:r>
      <w:r>
        <w:t xml:space="preserve"> </w:t>
      </w:r>
      <w:r>
        <w:t xml:space="preserve">track.</w:t>
      </w:r>
    </w:p>
    <w:p>
      <w:pPr>
        <w:pStyle w:val="Compact"/>
        <w:numPr>
          <w:ilvl w:val="0"/>
          <w:numId w:val="1035"/>
        </w:numPr>
      </w:pPr>
      <w:r>
        <w:rPr>
          <w:b/>
          <w:bCs/>
        </w:rPr>
        <w:t xml:space="preserve">Source files merged:</w:t>
      </w:r>
    </w:p>
    <w:p>
      <w:pPr>
        <w:pStyle w:val="Compact"/>
        <w:numPr>
          <w:ilvl w:val="1"/>
          <w:numId w:val="1036"/>
        </w:numPr>
      </w:pPr>
      <w:r>
        <w:rPr>
          <w:rStyle w:val="VerbatimChar"/>
        </w:rPr>
        <w:t xml:space="preserve">hipaa-security-incidents.md</w:t>
      </w:r>
    </w:p>
    <w:p>
      <w:pPr>
        <w:pStyle w:val="Compact"/>
        <w:numPr>
          <w:ilvl w:val="1"/>
          <w:numId w:val="1036"/>
        </w:numPr>
      </w:pPr>
      <w:r>
        <w:rPr>
          <w:rStyle w:val="VerbatimChar"/>
        </w:rPr>
        <w:t xml:space="preserve">hipaa-breach-notification.md</w:t>
      </w:r>
      <w:r>
        <w:t xml:space="preserve"> </w:t>
      </w:r>
      <w:r>
        <w:t xml:space="preserve">(including all 4 exhibits)</w:t>
      </w:r>
    </w:p>
    <w:p>
      <w:pPr>
        <w:pStyle w:val="Compact"/>
        <w:numPr>
          <w:ilvl w:val="0"/>
          <w:numId w:val="1035"/>
        </w:numPr>
      </w:pPr>
      <w:r>
        <w:rPr>
          <w:b/>
          <w:bCs/>
        </w:rPr>
        <w:t xml:space="preserve">Outline:</w:t>
      </w:r>
    </w:p>
    <w:p>
      <w:pPr>
        <w:pStyle w:val="Compact"/>
        <w:numPr>
          <w:ilvl w:val="1"/>
          <w:numId w:val="1037"/>
        </w:numPr>
      </w:pPr>
      <w:r>
        <w:t xml:space="preserve">Scope &amp; applicability</w:t>
      </w:r>
    </w:p>
    <w:p>
      <w:pPr>
        <w:pStyle w:val="Compact"/>
        <w:numPr>
          <w:ilvl w:val="1"/>
          <w:numId w:val="1037"/>
        </w:numPr>
      </w:pPr>
      <w:r>
        <w:t xml:space="preserve">Definitions (Breach, Unsecured PHI, Date of Discovery, Disclosure, Use — pulled in from the embedded breach-notification definitions and from</w:t>
      </w:r>
      <w:r>
        <w:t xml:space="preserve"> </w:t>
      </w:r>
      <w:r>
        <w:rPr>
          <w:rStyle w:val="VerbatimChar"/>
        </w:rPr>
        <w:t xml:space="preserve">hipaa-definitions.md</w:t>
      </w:r>
      <w:r>
        <w:t xml:space="preserve">)</w:t>
      </w:r>
    </w:p>
    <w:p>
      <w:pPr>
        <w:pStyle w:val="Compact"/>
        <w:numPr>
          <w:ilvl w:val="1"/>
          <w:numId w:val="1037"/>
        </w:numPr>
      </w:pPr>
      <w:r>
        <w:t xml:space="preserve">Security incident reporting (any personnel → CSO within 24h)</w:t>
      </w:r>
    </w:p>
    <w:p>
      <w:pPr>
        <w:pStyle w:val="Compact"/>
        <w:numPr>
          <w:ilvl w:val="1"/>
          <w:numId w:val="1037"/>
        </w:numPr>
      </w:pPr>
      <w:r>
        <w:t xml:space="preserve">Security incident investigation, response, and post-incident analysis</w:t>
      </w:r>
    </w:p>
    <w:p>
      <w:pPr>
        <w:pStyle w:val="Compact"/>
        <w:numPr>
          <w:ilvl w:val="1"/>
          <w:numId w:val="1037"/>
        </w:numPr>
      </w:pPr>
      <w:r>
        <w:t xml:space="preserve">Security incident log (required fields)</w:t>
      </w:r>
    </w:p>
    <w:p>
      <w:pPr>
        <w:pStyle w:val="Compact"/>
        <w:numPr>
          <w:ilvl w:val="1"/>
          <w:numId w:val="1037"/>
        </w:numPr>
      </w:pPr>
      <w:r>
        <w:t xml:space="preserve">Breach determination (presumption + low-probability rebuttal + risk assessment form)</w:t>
      </w:r>
    </w:p>
    <w:p>
      <w:pPr>
        <w:pStyle w:val="Compact"/>
        <w:numPr>
          <w:ilvl w:val="1"/>
          <w:numId w:val="1037"/>
        </w:numPr>
      </w:pPr>
      <w:r>
        <w:t xml:space="preserve">Breach exceptions (good-faith access, inadvertent disclosure within authorized scope, unretainable disclosure)</w:t>
      </w:r>
    </w:p>
    <w:p>
      <w:pPr>
        <w:pStyle w:val="Compact"/>
        <w:numPr>
          <w:ilvl w:val="1"/>
          <w:numId w:val="1037"/>
        </w:numPr>
      </w:pPr>
      <w:r>
        <w:t xml:space="preserve">Notification of affected individuals (60-day rule, content, method, substitute notice)</w:t>
      </w:r>
    </w:p>
    <w:p>
      <w:pPr>
        <w:pStyle w:val="Compact"/>
        <w:numPr>
          <w:ilvl w:val="1"/>
          <w:numId w:val="1037"/>
        </w:numPr>
      </w:pPr>
      <w:r>
        <w:t xml:space="preserve">Notification to authorities (annual HHS report for &lt;500, immediate HHS + media for ≥500)</w:t>
      </w:r>
    </w:p>
    <w:p>
      <w:pPr>
        <w:pStyle w:val="Compact"/>
        <w:numPr>
          <w:ilvl w:val="1"/>
          <w:numId w:val="1037"/>
        </w:numPr>
      </w:pPr>
      <w:r>
        <w:t xml:space="preserve">Notification to insurance carrier</w:t>
      </w:r>
    </w:p>
    <w:p>
      <w:pPr>
        <w:pStyle w:val="Compact"/>
        <w:numPr>
          <w:ilvl w:val="1"/>
          <w:numId w:val="1037"/>
        </w:numPr>
      </w:pPr>
      <w:r>
        <w:t xml:space="preserve">Mitigation, sanctions, complaints, accounting cross-references</w:t>
      </w:r>
    </w:p>
    <w:p>
      <w:pPr>
        <w:pStyle w:val="Compact"/>
        <w:numPr>
          <w:ilvl w:val="1"/>
          <w:numId w:val="1037"/>
        </w:numPr>
      </w:pPr>
      <w:r>
        <w:t xml:space="preserve">Annual privacy &amp; security report to CEO</w:t>
      </w:r>
    </w:p>
    <w:p>
      <w:pPr>
        <w:pStyle w:val="Compact"/>
        <w:numPr>
          <w:ilvl w:val="1"/>
          <w:numId w:val="1037"/>
        </w:numPr>
      </w:pPr>
      <w:r>
        <w:t xml:space="preserve">Policy review cadence</w:t>
      </w:r>
    </w:p>
    <w:p>
      <w:pPr>
        <w:pStyle w:val="Compact"/>
        <w:numPr>
          <w:ilvl w:val="1"/>
          <w:numId w:val="1037"/>
        </w:numPr>
      </w:pPr>
      <w:r>
        <w:t xml:space="preserve">References (45 CFR §§164.308(a)(6), 164.400–164.414)</w:t>
      </w:r>
    </w:p>
    <w:p>
      <w:pPr>
        <w:pStyle w:val="Compact"/>
        <w:numPr>
          <w:ilvl w:val="1"/>
          <w:numId w:val="1037"/>
        </w:numPr>
      </w:pPr>
      <w:r>
        <w:t xml:space="preserve">Appendix A — State Breach Notification Requirements (California)</w:t>
      </w:r>
    </w:p>
    <w:p>
      <w:pPr>
        <w:pStyle w:val="Compact"/>
        <w:numPr>
          <w:ilvl w:val="1"/>
          <w:numId w:val="1037"/>
        </w:numPr>
      </w:pPr>
      <w:r>
        <w:t xml:space="preserve">Appendix B — Risk Assessment Form</w:t>
      </w:r>
    </w:p>
    <w:p>
      <w:pPr>
        <w:pStyle w:val="Compact"/>
        <w:numPr>
          <w:ilvl w:val="1"/>
          <w:numId w:val="1037"/>
        </w:numPr>
      </w:pPr>
      <w:r>
        <w:t xml:space="preserve">Appendix C — Sample patient breach notification letter</w:t>
      </w:r>
    </w:p>
    <w:p>
      <w:pPr>
        <w:pStyle w:val="Compact"/>
        <w:numPr>
          <w:ilvl w:val="1"/>
          <w:numId w:val="1037"/>
        </w:numPr>
      </w:pPr>
      <w:r>
        <w:t xml:space="preserve">Appendix D — Internal breach report form</w:t>
      </w:r>
    </w:p>
    <w:p>
      <w:pPr>
        <w:pStyle w:val="Compact"/>
        <w:numPr>
          <w:ilvl w:val="0"/>
          <w:numId w:val="1035"/>
        </w:numPr>
      </w:pPr>
      <w:r>
        <w:rPr>
          <w:b/>
          <w:bCs/>
        </w:rPr>
        <w:t xml:space="preserve">Estimated final size:</w:t>
      </w:r>
      <w:r>
        <w:t xml:space="preserve"> </w:t>
      </w:r>
      <w:r>
        <w:t xml:space="preserve">~32–35 KB</w:t>
      </w:r>
    </w:p>
    <w:p>
      <w:pPr>
        <w:pStyle w:val="Compact"/>
        <w:numPr>
          <w:ilvl w:val="0"/>
          <w:numId w:val="1035"/>
        </w:numPr>
      </w:pPr>
      <w:r>
        <w:rPr>
          <w:b/>
          <w:bCs/>
        </w:rPr>
        <w:t xml:space="preserve">Risks / what gets lost:</w:t>
      </w:r>
      <w:r>
        <w:t xml:space="preserve"> </w:t>
      </w:r>
      <w:r>
        <w:rPr>
          <w:b/>
          <w:bCs/>
        </w:rPr>
        <w:t xml:space="preserve">Critical that</w:t>
      </w:r>
      <w:r>
        <w:rPr>
          <w:b/>
          <w:bCs/>
        </w:rPr>
        <w:t xml:space="preserve"> </w:t>
      </w:r>
      <w:r>
        <w:rPr>
          <w:b/>
          <w:bCs/>
        </w:rPr>
        <w:t xml:space="preserve">“Breach Notification”</w:t>
      </w:r>
      <w:r>
        <w:rPr>
          <w:b/>
          <w:bCs/>
        </w:rPr>
        <w:t xml:space="preserve"> </w:t>
      </w:r>
      <w:r>
        <w:rPr>
          <w:b/>
          <w:bCs/>
        </w:rPr>
        <w:t xml:space="preserve">remain findable by name</w:t>
      </w:r>
      <w:r>
        <w:t xml:space="preserve"> </w:t>
      </w:r>
      <w:r>
        <w:t xml:space="preserve">— HHS/OCR audits explicitly request it. Use that phrase as the top-level heading for sections 6–11 so it appears in the table of contents and in any text search.</w:t>
      </w:r>
    </w:p>
    <w:p>
      <w:pPr>
        <w:pStyle w:val="Compact"/>
        <w:numPr>
          <w:ilvl w:val="0"/>
          <w:numId w:val="1035"/>
        </w:numPr>
      </w:pPr>
      <w:r>
        <w:rPr>
          <w:b/>
          <w:bCs/>
        </w:rPr>
        <w:t xml:space="preserve">Auditor-finding note:</w:t>
      </w:r>
      <w:r>
        <w:t xml:space="preserve"> </w:t>
      </w:r>
      <w:r>
        <w:t xml:space="preserve">consider linking this policy under TWO file paths (or noting in the README) so both</w:t>
      </w:r>
      <w:r>
        <w:t xml:space="preserve"> </w:t>
      </w:r>
      <w:r>
        <w:t xml:space="preserve">“Breach Notification”</w:t>
      </w:r>
      <w:r>
        <w:t xml:space="preserve"> </w:t>
      </w:r>
      <w:r>
        <w:t xml:space="preserve">and</w:t>
      </w:r>
      <w:r>
        <w:t xml:space="preserve"> </w:t>
      </w:r>
      <w:r>
        <w:t xml:space="preserve">“Security Incident Management”</w:t>
      </w:r>
      <w:r>
        <w:t xml:space="preserve"> </w:t>
      </w:r>
      <w:r>
        <w:t xml:space="preserve">remain navigable concepts.</w:t>
      </w:r>
    </w:p>
    <w:p>
      <w:r>
        <w:pict>
          <v:rect style="width:0;height:1.5pt" o:hralign="center" o:hrstd="t" o:hr="t"/>
        </w:pict>
      </w:r>
    </w:p>
    <w:bookmarkEnd w:id="41"/>
    <w:bookmarkStart w:id="42" w:name="vendor-and-business-associates.md"/>
    <w:p>
      <w:pPr>
        <w:pStyle w:val="Heading3"/>
      </w:pPr>
      <w:r>
        <w:t xml:space="preserve">3.7</w:t>
      </w:r>
      <w:r>
        <w:t xml:space="preserve"> </w:t>
      </w:r>
      <w:r>
        <w:rPr>
          <w:rStyle w:val="VerbatimChar"/>
        </w:rPr>
        <w:t xml:space="preserve">vendor-and-business-associates.md</w:t>
      </w:r>
    </w:p>
    <w:p>
      <w:pPr>
        <w:pStyle w:val="Compact"/>
        <w:numPr>
          <w:ilvl w:val="0"/>
          <w:numId w:val="1038"/>
        </w:numPr>
      </w:pPr>
      <w:r>
        <w:rPr>
          <w:b/>
          <w:bCs/>
        </w:rPr>
        <w:t xml:space="preserve">Purpose:</w:t>
      </w:r>
      <w:r>
        <w:t xml:space="preserve"> </w:t>
      </w:r>
      <w:r>
        <w:t xml:space="preserve">Identifying Business Associates, executing BAAs, vendor risk assessment, and ongoing oversight.</w:t>
      </w:r>
    </w:p>
    <w:p>
      <w:pPr>
        <w:pStyle w:val="Compact"/>
        <w:numPr>
          <w:ilvl w:val="0"/>
          <w:numId w:val="1038"/>
        </w:numPr>
      </w:pPr>
      <w:r>
        <w:rPr>
          <w:b/>
          <w:bCs/>
        </w:rPr>
        <w:t xml:space="preserve">Source files merged:</w:t>
      </w:r>
    </w:p>
    <w:p>
      <w:pPr>
        <w:pStyle w:val="Compact"/>
        <w:numPr>
          <w:ilvl w:val="1"/>
          <w:numId w:val="1039"/>
        </w:numPr>
      </w:pPr>
      <w:r>
        <w:rPr>
          <w:rStyle w:val="VerbatimChar"/>
        </w:rPr>
        <w:t xml:space="preserve">hipaa-business-associate-agreement.md</w:t>
      </w:r>
    </w:p>
    <w:p>
      <w:pPr>
        <w:pStyle w:val="Compact"/>
        <w:numPr>
          <w:ilvl w:val="1"/>
          <w:numId w:val="1039"/>
        </w:numPr>
      </w:pPr>
      <w:r>
        <w:t xml:space="preserve">The</w:t>
      </w:r>
      <w:r>
        <w:t xml:space="preserve"> </w:t>
      </w:r>
      <w:r>
        <w:t xml:space="preserve">“Third-Party &amp; Vendor Management”</w:t>
      </w:r>
      <w:r>
        <w:t xml:space="preserve"> </w:t>
      </w:r>
      <w:r>
        <w:t xml:space="preserve">section of</w:t>
      </w:r>
      <w:r>
        <w:t xml:space="preserve"> </w:t>
      </w:r>
      <w:r>
        <w:rPr>
          <w:rStyle w:val="VerbatimChar"/>
        </w:rPr>
        <w:t xml:space="preserve">information-security-framework.md</w:t>
      </w:r>
      <w:r>
        <w:t xml:space="preserve"> </w:t>
      </w:r>
      <w:r>
        <w:t xml:space="preserve">(§11)</w:t>
      </w:r>
    </w:p>
    <w:p>
      <w:pPr>
        <w:pStyle w:val="Compact"/>
        <w:numPr>
          <w:ilvl w:val="0"/>
          <w:numId w:val="1038"/>
        </w:numPr>
      </w:pPr>
      <w:r>
        <w:rPr>
          <w:b/>
          <w:bCs/>
        </w:rPr>
        <w:t xml:space="preserve">Outline:</w:t>
      </w:r>
    </w:p>
    <w:p>
      <w:pPr>
        <w:pStyle w:val="Compact"/>
        <w:numPr>
          <w:ilvl w:val="1"/>
          <w:numId w:val="1040"/>
        </w:numPr>
      </w:pPr>
      <w:r>
        <w:t xml:space="preserve">Scope &amp; applicability</w:t>
      </w:r>
    </w:p>
    <w:p>
      <w:pPr>
        <w:pStyle w:val="Compact"/>
        <w:numPr>
          <w:ilvl w:val="1"/>
          <w:numId w:val="1040"/>
        </w:numPr>
      </w:pPr>
      <w:r>
        <w:t xml:space="preserve">Determining whether a vendor is a Business Associate</w:t>
      </w:r>
    </w:p>
    <w:p>
      <w:pPr>
        <w:pStyle w:val="Compact"/>
        <w:numPr>
          <w:ilvl w:val="1"/>
          <w:numId w:val="1040"/>
        </w:numPr>
      </w:pPr>
      <w:r>
        <w:t xml:space="preserve">Pre-engagement: security assessment (cross-reference</w:t>
      </w:r>
      <w:r>
        <w:t xml:space="preserve"> </w:t>
      </w:r>
      <w:r>
        <w:rPr>
          <w:rStyle w:val="VerbatimChar"/>
        </w:rPr>
        <w:t xml:space="preserve">ech-security-assessment.md</w:t>
      </w:r>
      <w:r>
        <w:t xml:space="preserve">)</w:t>
      </w:r>
    </w:p>
    <w:p>
      <w:pPr>
        <w:pStyle w:val="Compact"/>
        <w:numPr>
          <w:ilvl w:val="1"/>
          <w:numId w:val="1040"/>
        </w:numPr>
      </w:pPr>
      <w:r>
        <w:t xml:space="preserve">BAA execution requirements (template, modifications, storage in Google Workspace Contracts &gt; BAAs)</w:t>
      </w:r>
    </w:p>
    <w:p>
      <w:pPr>
        <w:pStyle w:val="Compact"/>
        <w:numPr>
          <w:ilvl w:val="1"/>
          <w:numId w:val="1040"/>
        </w:numPr>
      </w:pPr>
      <w:r>
        <w:t xml:space="preserve">Subcontractor / subprocessor / Nth-party flow-down obligations</w:t>
      </w:r>
    </w:p>
    <w:p>
      <w:pPr>
        <w:pStyle w:val="Compact"/>
        <w:numPr>
          <w:ilvl w:val="1"/>
          <w:numId w:val="1040"/>
        </w:numPr>
      </w:pPr>
      <w:r>
        <w:t xml:space="preserve">Annual BAA review (cross-reference Compliance Calendar)</w:t>
      </w:r>
    </w:p>
    <w:p>
      <w:pPr>
        <w:pStyle w:val="Compact"/>
        <w:numPr>
          <w:ilvl w:val="1"/>
          <w:numId w:val="1040"/>
        </w:numPr>
      </w:pPr>
      <w:r>
        <w:t xml:space="preserve">Breach of a BAA</w:t>
      </w:r>
    </w:p>
    <w:p>
      <w:pPr>
        <w:pStyle w:val="Compact"/>
        <w:numPr>
          <w:ilvl w:val="1"/>
          <w:numId w:val="1040"/>
        </w:numPr>
      </w:pPr>
      <w:r>
        <w:t xml:space="preserve">References (45 CFR §164.308(b)(1))</w:t>
      </w:r>
    </w:p>
    <w:p>
      <w:pPr>
        <w:pStyle w:val="Compact"/>
        <w:numPr>
          <w:ilvl w:val="0"/>
          <w:numId w:val="1038"/>
        </w:numPr>
      </w:pPr>
      <w:r>
        <w:rPr>
          <w:b/>
          <w:bCs/>
        </w:rPr>
        <w:t xml:space="preserve">Estimated final size:</w:t>
      </w:r>
      <w:r>
        <w:t xml:space="preserve"> </w:t>
      </w:r>
      <w:r>
        <w:t xml:space="preserve">~6–8 KB</w:t>
      </w:r>
    </w:p>
    <w:p>
      <w:pPr>
        <w:pStyle w:val="Compact"/>
        <w:numPr>
          <w:ilvl w:val="0"/>
          <w:numId w:val="1038"/>
        </w:numPr>
      </w:pPr>
      <w:r>
        <w:rPr>
          <w:b/>
          <w:bCs/>
        </w:rPr>
        <w:t xml:space="preserve">Risks / what gets lost:</w:t>
      </w:r>
      <w:r>
        <w:t xml:space="preserve"> </w:t>
      </w:r>
      <w:r>
        <w:t xml:space="preserve">Small file — but BAA is one auditors look for by name, so keeping it separate is worth the small overhead. Could alternatively become a subsection of §3.1 (Governance) — judgment call for the reviewer.</w:t>
      </w:r>
    </w:p>
    <w:p>
      <w:r>
        <w:pict>
          <v:rect style="width:0;height:1.5pt" o:hralign="center" o:hrstd="t" o:hr="t"/>
        </w:pict>
      </w:r>
    </w:p>
    <w:bookmarkEnd w:id="42"/>
    <w:bookmarkStart w:id="43" w:name="sdlc-and-asset-lifecycle.md-unchanged"/>
    <w:p>
      <w:pPr>
        <w:pStyle w:val="Heading3"/>
      </w:pPr>
      <w:r>
        <w:t xml:space="preserve">3.8</w:t>
      </w:r>
      <w:r>
        <w:t xml:space="preserve"> </w:t>
      </w:r>
      <w:r>
        <w:rPr>
          <w:rStyle w:val="VerbatimChar"/>
        </w:rPr>
        <w:t xml:space="preserve">sdlc-and-asset-lifecycle.md</w:t>
      </w:r>
      <w:r>
        <w:t xml:space="preserve"> </w:t>
      </w:r>
      <w:r>
        <w:t xml:space="preserve">(UNCHANGED)</w:t>
      </w:r>
    </w:p>
    <w:p>
      <w:pPr>
        <w:pStyle w:val="FirstParagraph"/>
      </w:pPr>
      <w:r>
        <w:t xml:space="preserve">Keep as a standalone CTO-owned policy. It is the only developer-facing policy and naturally lives separately from the HIPAA officer-owned set.</w:t>
      </w:r>
    </w:p>
    <w:p>
      <w:pPr>
        <w:pStyle w:val="Compact"/>
        <w:numPr>
          <w:ilvl w:val="0"/>
          <w:numId w:val="1041"/>
        </w:numPr>
      </w:pPr>
      <w:r>
        <w:rPr>
          <w:b/>
          <w:bCs/>
        </w:rPr>
        <w:t xml:space="preserve">Estimated final size:</w:t>
      </w:r>
      <w:r>
        <w:t xml:space="preserve"> </w:t>
      </w:r>
      <w:r>
        <w:t xml:space="preserve">~4 KB (no change)</w:t>
      </w:r>
    </w:p>
    <w:p>
      <w:pPr>
        <w:pStyle w:val="Compact"/>
        <w:numPr>
          <w:ilvl w:val="0"/>
          <w:numId w:val="1041"/>
        </w:numPr>
      </w:pPr>
      <w:r>
        <w:rPr>
          <w:b/>
          <w:bCs/>
        </w:rPr>
        <w:t xml:space="preserve">Risks / what gets lost:</w:t>
      </w:r>
      <w:r>
        <w:t xml:space="preserve"> </w:t>
      </w:r>
      <w:r>
        <w:t xml:space="preserve">None.</w:t>
      </w:r>
    </w:p>
    <w:p>
      <w:r>
        <w:pict>
          <v:rect style="width:0;height:1.5pt" o:hralign="center" o:hrstd="t" o:hr="t"/>
        </w:pict>
      </w:r>
    </w:p>
    <w:bookmarkEnd w:id="43"/>
    <w:bookmarkStart w:id="44" w:name="Xf51beedb8dd523f32b58df02882d1808ec1d5f5"/>
    <w:p>
      <w:pPr>
        <w:pStyle w:val="Heading3"/>
      </w:pPr>
      <w:r>
        <w:t xml:space="preserve">3.9 Reference matrices (UNCHANGED, read-only snapshots)</w:t>
      </w:r>
    </w:p>
    <w:p>
      <w:pPr>
        <w:pStyle w:val="Compact"/>
        <w:numPr>
          <w:ilvl w:val="0"/>
          <w:numId w:val="1042"/>
        </w:numPr>
      </w:pPr>
      <w:r>
        <w:rPr>
          <w:rStyle w:val="VerbatimChar"/>
        </w:rPr>
        <w:t xml:space="preserve">platform-and-access-matrix.md</w:t>
      </w:r>
      <w:r>
        <w:t xml:space="preserve"> </w:t>
      </w:r>
      <w:r>
        <w:t xml:space="preserve">— keep as-is (read-only xlsx snapshot per README)</w:t>
      </w:r>
    </w:p>
    <w:p>
      <w:pPr>
        <w:pStyle w:val="Compact"/>
        <w:numPr>
          <w:ilvl w:val="0"/>
          <w:numId w:val="1042"/>
        </w:numPr>
      </w:pPr>
      <w:r>
        <w:rPr>
          <w:rStyle w:val="VerbatimChar"/>
        </w:rPr>
        <w:t xml:space="preserve">ech-security-assessment.md</w:t>
      </w:r>
      <w:r>
        <w:t xml:space="preserve"> </w:t>
      </w:r>
      <w:r>
        <w:t xml:space="preserve">— keep as-is (read-only xlsx snapshot per README)</w:t>
      </w:r>
    </w:p>
    <w:p>
      <w:r>
        <w:pict>
          <v:rect style="width:0;height:1.5pt" o:hralign="center" o:hrstd="t" o:hr="t"/>
        </w:pict>
      </w:r>
    </w:p>
    <w:bookmarkEnd w:id="44"/>
    <w:bookmarkStart w:id="45" w:name="what-to-do-about-privacy-policy.md"/>
    <w:p>
      <w:pPr>
        <w:pStyle w:val="Heading3"/>
      </w:pPr>
      <w:r>
        <w:t xml:space="preserve">3.10 What to do about</w:t>
      </w:r>
      <w:r>
        <w:t xml:space="preserve"> </w:t>
      </w:r>
      <w:r>
        <w:rPr>
          <w:rStyle w:val="VerbatimChar"/>
        </w:rPr>
        <w:t xml:space="preserve">privacy-policy.md</w:t>
      </w:r>
    </w:p>
    <w:p>
      <w:pPr>
        <w:pStyle w:val="FirstParagraph"/>
      </w:pPr>
      <w:r>
        <w:t xml:space="preserve">Two scenarios; pick one before deletion:</w:t>
      </w:r>
    </w:p>
    <w:p>
      <w:pPr>
        <w:pStyle w:val="Compact"/>
        <w:numPr>
          <w:ilvl w:val="0"/>
          <w:numId w:val="1043"/>
        </w:numPr>
      </w:pPr>
      <w:r>
        <w:rPr>
          <w:b/>
          <w:bCs/>
        </w:rPr>
        <w:t xml:space="preserve">Scenario A — Repurpose:</w:t>
      </w:r>
      <w:r>
        <w:t xml:space="preserve"> </w:t>
      </w:r>
      <w:r>
        <w:t xml:space="preserve">Rewrite as an actual patient-facing</w:t>
      </w:r>
      <w:r>
        <w:t xml:space="preserve"> </w:t>
      </w:r>
      <w:r>
        <w:rPr>
          <w:b/>
          <w:bCs/>
        </w:rPr>
        <w:t xml:space="preserve">Notice of Privacy Practices</w:t>
      </w:r>
      <w:r>
        <w:t xml:space="preserve"> </w:t>
      </w:r>
      <w:r>
        <w:t xml:space="preserve">(which is what the README expects). This is a different beast from the internal HIPAA operating policies — it is the §164.520 NPP that is given to every patient and posted on the website. This needs to be drafted fresh; the current file does not contain a patient-facing notice.</w:t>
      </w:r>
    </w:p>
    <w:p>
      <w:pPr>
        <w:pStyle w:val="Compact"/>
        <w:numPr>
          <w:ilvl w:val="0"/>
          <w:numId w:val="1043"/>
        </w:numPr>
      </w:pPr>
      <w:r>
        <w:rPr>
          <w:b/>
          <w:bCs/>
        </w:rPr>
        <w:t xml:space="preserve">Scenario B — Delete:</w:t>
      </w:r>
      <w:r>
        <w:t xml:space="preserve"> </w:t>
      </w:r>
      <w:r>
        <w:t xml:space="preserve">Drop the file entirely (after rescuing the Device &amp; Media Management content into</w:t>
      </w:r>
      <w:r>
        <w:t xml:space="preserve"> </w:t>
      </w:r>
      <w:r>
        <w:rPr>
          <w:rStyle w:val="VerbatimChar"/>
        </w:rPr>
        <w:t xml:space="preserve">technical-safeguards.md</w:t>
      </w:r>
      <w:r>
        <w:t xml:space="preserve"> </w:t>
      </w:r>
      <w:r>
        <w:t xml:space="preserve">per §3.4) and remove the row from the README §1 Policy Index. Add a new TODO in the README for</w:t>
      </w:r>
      <w:r>
        <w:t xml:space="preserve"> </w:t>
      </w:r>
      <w:r>
        <w:t xml:space="preserve">“Patient-facing Notice of Privacy Practices — to be drafted.”</w:t>
      </w:r>
    </w:p>
    <w:p>
      <w:pPr>
        <w:pStyle w:val="FirstParagraph"/>
      </w:pPr>
      <w:r>
        <w:rPr>
          <w:b/>
          <w:bCs/>
        </w:rPr>
        <w:t xml:space="preserve">Recommendation:</w:t>
      </w:r>
      <w:r>
        <w:t xml:space="preserve"> </w:t>
      </w:r>
      <w:r>
        <w:t xml:space="preserve">Scenario B + add a TODO. The patient NPP is a separate compliance artifact and should not be drafted as part of this consolidation pass.</w:t>
      </w:r>
    </w:p>
    <w:p>
      <w:r>
        <w:pict>
          <v:rect style="width:0;height:1.5pt" o:hralign="center" o:hrstd="t" o:hr="t"/>
        </w:pict>
      </w:r>
    </w:p>
    <w:bookmarkEnd w:id="45"/>
    <w:bookmarkStart w:id="46" w:name="what-to-do-about-hipaa-definitions.md"/>
    <w:p>
      <w:pPr>
        <w:pStyle w:val="Heading3"/>
      </w:pPr>
      <w:r>
        <w:t xml:space="preserve">3.11 What to do about</w:t>
      </w:r>
      <w:r>
        <w:t xml:space="preserve"> </w:t>
      </w:r>
      <w:r>
        <w:rPr>
          <w:rStyle w:val="VerbatimChar"/>
        </w:rPr>
        <w:t xml:space="preserve">hipaa-definitions.md</w:t>
      </w:r>
    </w:p>
    <w:p>
      <w:pPr>
        <w:pStyle w:val="FirstParagraph"/>
      </w:pPr>
      <w:r>
        <w:t xml:space="preserve">See §4 below — recommendation is to keep it as a standalone glossary.</w:t>
      </w:r>
    </w:p>
    <w:p>
      <w:r>
        <w:pict>
          <v:rect style="width:0;height:1.5pt" o:hralign="center" o:hrstd="t" o:hr="t"/>
        </w:pict>
      </w:r>
    </w:p>
    <w:bookmarkEnd w:id="46"/>
    <w:bookmarkEnd w:id="47"/>
    <w:bookmarkStart w:id="48" w:name="definitions-strategy"/>
    <w:p>
      <w:pPr>
        <w:pStyle w:val="Heading2"/>
      </w:pPr>
      <w:r>
        <w:t xml:space="preserve">§4 — Definitions strategy</w:t>
      </w:r>
    </w:p>
    <w:p>
      <w:pPr>
        <w:pStyle w:val="FirstParagraph"/>
      </w:pPr>
      <w:r>
        <w:rPr>
          <w:b/>
          <w:bCs/>
        </w:rPr>
        <w:t xml:space="preserve">Recommendation: Keep</w:t>
      </w:r>
      <w:r>
        <w:rPr>
          <w:b/>
          <w:bCs/>
        </w:rPr>
        <w:t xml:space="preserve"> </w:t>
      </w:r>
      <w:r>
        <w:rPr>
          <w:rStyle w:val="VerbatimChar"/>
          <w:b/>
          <w:bCs/>
        </w:rPr>
        <w:t xml:space="preserve">hipaa-definitions.md</w:t>
      </w:r>
      <w:r>
        <w:rPr>
          <w:b/>
          <w:bCs/>
        </w:rPr>
        <w:t xml:space="preserve"> </w:t>
      </w:r>
      <w:r>
        <w:rPr>
          <w:b/>
          <w:bCs/>
        </w:rPr>
        <w:t xml:space="preserve">as a centralized glossary, and remove duplicate inline definitions from the other files (replace with</w:t>
      </w:r>
      <w:r>
        <w:rPr>
          <w:b/>
          <w:bCs/>
        </w:rPr>
        <w:t xml:space="preserve"> </w:t>
      </w:r>
      <w:r>
        <w:rPr>
          <w:b/>
          <w:bCs/>
        </w:rPr>
        <w:t xml:space="preserve">“as defined in</w:t>
      </w:r>
      <w:r>
        <w:rPr>
          <w:b/>
          <w:bCs/>
        </w:rPr>
        <w:t xml:space="preserve"> </w:t>
      </w:r>
      <w:r>
        <w:rPr>
          <w:rStyle w:val="VerbatimChar"/>
          <w:b/>
          <w:bCs/>
        </w:rPr>
        <w:t xml:space="preserve">hipaa-definitions.md</w:t>
      </w:r>
      <w:r>
        <w:rPr>
          <w:b/>
          <w:bCs/>
        </w:rPr>
        <w:t xml:space="preserve">”</w:t>
      </w:r>
      <w:r>
        <w:rPr>
          <w:b/>
          <w:bCs/>
        </w:rPr>
        <w:t xml:space="preserve">).</w:t>
      </w:r>
    </w:p>
    <w:p>
      <w:pPr>
        <w:pStyle w:val="BodyText"/>
      </w:pPr>
      <w:r>
        <w:t xml:space="preserve">Rationale:</w:t>
      </w:r>
      <w:r>
        <w:t xml:space="preserve"> </w:t>
      </w:r>
      <w:r>
        <w:t xml:space="preserve">- 13+ terms are reused across 3+ files (see §1.6). Centralizing eliminates drift risk (e.g.,</w:t>
      </w:r>
      <w:r>
        <w:t xml:space="preserve"> </w:t>
      </w:r>
      <w:r>
        <w:rPr>
          <w:rStyle w:val="VerbatimChar"/>
        </w:rPr>
        <w:t xml:space="preserve">ePHI</w:t>
      </w:r>
      <w:r>
        <w:t xml:space="preserve"> </w:t>
      </w:r>
      <w:r>
        <w:t xml:space="preserve">defined slightly differently in Encryption vs Risk Management vs Framework).</w:t>
      </w:r>
      <w:r>
        <w:t xml:space="preserve"> </w:t>
      </w:r>
      <w:r>
        <w:t xml:space="preserve">- The glossary is short (~7KB) and easy to scan.</w:t>
      </w:r>
      <w:r>
        <w:t xml:space="preserve"> </w:t>
      </w:r>
      <w:r>
        <w:t xml:space="preserve">- HIPAA auditors are comfortable with a</w:t>
      </w:r>
      <w:r>
        <w:t xml:space="preserve"> </w:t>
      </w:r>
      <w:r>
        <w:t xml:space="preserve">“Definitions”</w:t>
      </w:r>
      <w:r>
        <w:t xml:space="preserve"> </w:t>
      </w:r>
      <w:r>
        <w:t xml:space="preserve">annex; this is a standard convention.</w:t>
      </w:r>
    </w:p>
    <w:p>
      <w:pPr>
        <w:pStyle w:val="BodyText"/>
      </w:pPr>
      <w:r>
        <w:t xml:space="preserve">Tweaks:</w:t>
      </w:r>
      <w:r>
        <w:t xml:space="preserve"> </w:t>
      </w:r>
      <w:r>
        <w:t xml:space="preserve">-</w:t>
      </w:r>
      <w:r>
        <w:t xml:space="preserve"> </w:t>
      </w:r>
      <w:r>
        <w:rPr>
          <w:b/>
          <w:bCs/>
        </w:rPr>
        <w:t xml:space="preserve">Add</w:t>
      </w:r>
      <w:r>
        <w:t xml:space="preserve"> </w:t>
      </w:r>
      <w:r>
        <w:rPr>
          <w:rStyle w:val="VerbatimChar"/>
        </w:rPr>
        <w:t xml:space="preserve">Marketing</w:t>
      </w:r>
      <w:r>
        <w:t xml:space="preserve">,</w:t>
      </w:r>
      <w:r>
        <w:t xml:space="preserve"> </w:t>
      </w:r>
      <w:r>
        <w:rPr>
          <w:rStyle w:val="VerbatimChar"/>
        </w:rPr>
        <w:t xml:space="preserve">Financial Remuneration</w:t>
      </w:r>
      <w:r>
        <w:t xml:space="preserve">,</w:t>
      </w:r>
      <w:r>
        <w:t xml:space="preserve"> </w:t>
      </w:r>
      <w:r>
        <w:rPr>
          <w:rStyle w:val="VerbatimChar"/>
        </w:rPr>
        <w:t xml:space="preserve">Unsecured PHI</w:t>
      </w:r>
      <w:r>
        <w:t xml:space="preserve">,</w:t>
      </w:r>
      <w:r>
        <w:t xml:space="preserve"> </w:t>
      </w:r>
      <w:r>
        <w:rPr>
          <w:rStyle w:val="VerbatimChar"/>
        </w:rPr>
        <w:t xml:space="preserve">Date of Discovery</w:t>
      </w:r>
      <w:r>
        <w:t xml:space="preserve">,</w:t>
      </w:r>
      <w:r>
        <w:t xml:space="preserve"> </w:t>
      </w:r>
      <w:r>
        <w:rPr>
          <w:rStyle w:val="VerbatimChar"/>
        </w:rPr>
        <w:t xml:space="preserve">Disclosure</w:t>
      </w:r>
      <w:r>
        <w:t xml:space="preserve">,</w:t>
      </w:r>
      <w:r>
        <w:t xml:space="preserve"> </w:t>
      </w:r>
      <w:r>
        <w:rPr>
          <w:rStyle w:val="VerbatimChar"/>
        </w:rPr>
        <w:t xml:space="preserve">Use</w:t>
      </w:r>
      <w:r>
        <w:t xml:space="preserve">,</w:t>
      </w:r>
      <w:r>
        <w:t xml:space="preserve"> </w:t>
      </w:r>
      <w:r>
        <w:rPr>
          <w:rStyle w:val="VerbatimChar"/>
        </w:rPr>
        <w:t xml:space="preserve">Designated Record Set</w:t>
      </w:r>
      <w:r>
        <w:t xml:space="preserve">,</w:t>
      </w:r>
      <w:r>
        <w:t xml:space="preserve"> </w:t>
      </w:r>
      <w:r>
        <w:rPr>
          <w:rStyle w:val="VerbatimChar"/>
        </w:rPr>
        <w:t xml:space="preserve">Electronic Health Information (EHI)</w:t>
      </w:r>
      <w:r>
        <w:t xml:space="preserve">,</w:t>
      </w:r>
      <w:r>
        <w:t xml:space="preserve"> </w:t>
      </w:r>
      <w:r>
        <w:rPr>
          <w:rStyle w:val="VerbatimChar"/>
        </w:rPr>
        <w:t xml:space="preserve">Limited Data Set</w:t>
      </w:r>
      <w:r>
        <w:t xml:space="preserve"> </w:t>
      </w:r>
      <w:r>
        <w:t xml:space="preserve">— these are currently scattered.</w:t>
      </w:r>
      <w:r>
        <w:t xml:space="preserve"> </w:t>
      </w:r>
      <w:r>
        <w:t xml:space="preserve">-</w:t>
      </w:r>
      <w:r>
        <w:t xml:space="preserve"> </w:t>
      </w:r>
      <w:r>
        <w:rPr>
          <w:b/>
          <w:bCs/>
        </w:rPr>
        <w:t xml:space="preserve">Reconcile</w:t>
      </w:r>
      <w:r>
        <w:t xml:space="preserve"> </w:t>
      </w:r>
      <w:r>
        <w:rPr>
          <w:rStyle w:val="VerbatimChar"/>
        </w:rPr>
        <w:t xml:space="preserve">Risk Management Team</w:t>
      </w:r>
      <w:r>
        <w:t xml:space="preserve"> </w:t>
      </w:r>
      <w:r>
        <w:t xml:space="preserve">(in</w:t>
      </w:r>
      <w:r>
        <w:t xml:space="preserve"> </w:t>
      </w:r>
      <w:r>
        <w:rPr>
          <w:rStyle w:val="VerbatimChar"/>
        </w:rPr>
        <w:t xml:space="preserve">hipaa-definitions.md</w:t>
      </w:r>
      <w:r>
        <w:t xml:space="preserve">) vs</w:t>
      </w:r>
      <w:r>
        <w:t xml:space="preserve"> </w:t>
      </w:r>
      <w:r>
        <w:rPr>
          <w:rStyle w:val="VerbatimChar"/>
        </w:rPr>
        <w:t xml:space="preserve">Risk Review Committee</w:t>
      </w:r>
      <w:r>
        <w:t xml:space="preserve"> </w:t>
      </w:r>
      <w:r>
        <w:t xml:space="preserve">/</w:t>
      </w:r>
      <w:r>
        <w:t xml:space="preserve"> </w:t>
      </w:r>
      <w:r>
        <w:rPr>
          <w:rStyle w:val="VerbatimChar"/>
        </w:rPr>
        <w:t xml:space="preserve">Risk Committee</w:t>
      </w:r>
      <w:r>
        <w:t xml:space="preserve"> </w:t>
      </w:r>
      <w:r>
        <w:t xml:space="preserve">(used in</w:t>
      </w:r>
      <w:r>
        <w:t xml:space="preserve"> </w:t>
      </w:r>
      <w:r>
        <w:rPr>
          <w:rStyle w:val="VerbatimChar"/>
        </w:rPr>
        <w:t xml:space="preserve">hipaa-risk-management.md</w:t>
      </w:r>
      <w:r>
        <w:t xml:space="preserve"> </w:t>
      </w:r>
      <w:r>
        <w:t xml:space="preserve">and</w:t>
      </w:r>
      <w:r>
        <w:t xml:space="preserve"> </w:t>
      </w:r>
      <w:r>
        <w:rPr>
          <w:rStyle w:val="VerbatimChar"/>
        </w:rPr>
        <w:t xml:space="preserve">README.md</w:t>
      </w:r>
      <w:r>
        <w:t xml:space="preserve">). These appear to refer to different bodies (the Risk Management Team is the standing operational group; the Risk Review Committee is the governance body that receives reports). Clarify.</w:t>
      </w:r>
      <w:r>
        <w:t xml:space="preserve"> </w:t>
      </w:r>
      <w:r>
        <w:t xml:space="preserve">-</w:t>
      </w:r>
      <w:r>
        <w:t xml:space="preserve"> </w:t>
      </w:r>
      <w:r>
        <w:rPr>
          <w:b/>
          <w:bCs/>
        </w:rPr>
        <w:t xml:space="preserve">Add</w:t>
      </w:r>
      <w:r>
        <w:t xml:space="preserve"> </w:t>
      </w:r>
      <w:r>
        <w:rPr>
          <w:rStyle w:val="VerbatimChar"/>
        </w:rPr>
        <w:t xml:space="preserve">Risk Review Committee</w:t>
      </w:r>
      <w:r>
        <w:t xml:space="preserve"> </w:t>
      </w:r>
      <w:r>
        <w:t xml:space="preserve">as a distinct defined term.</w:t>
      </w:r>
      <w:r>
        <w:t xml:space="preserve"> </w:t>
      </w:r>
      <w:r>
        <w:t xml:space="preserve">-</w:t>
      </w:r>
      <w:r>
        <w:t xml:space="preserve"> </w:t>
      </w:r>
      <w:r>
        <w:rPr>
          <w:b/>
          <w:bCs/>
        </w:rPr>
        <w:t xml:space="preserve">Add</w:t>
      </w:r>
      <w:r>
        <w:t xml:space="preserve"> </w:t>
      </w:r>
      <w:r>
        <w:rPr>
          <w:rStyle w:val="VerbatimChar"/>
        </w:rPr>
        <w:t xml:space="preserve">Chief Privacy Officer</w:t>
      </w:r>
      <w:r>
        <w:t xml:space="preserve">,</w:t>
      </w:r>
      <w:r>
        <w:t xml:space="preserve"> </w:t>
      </w:r>
      <w:r>
        <w:rPr>
          <w:rStyle w:val="VerbatimChar"/>
        </w:rPr>
        <w:t xml:space="preserve">Chief Security Officer</w:t>
      </w:r>
      <w:r>
        <w:t xml:space="preserve">,</w:t>
      </w:r>
      <w:r>
        <w:t xml:space="preserve"> </w:t>
      </w:r>
      <w:r>
        <w:rPr>
          <w:rStyle w:val="VerbatimChar"/>
        </w:rPr>
        <w:t xml:space="preserve">Risk Committee</w:t>
      </w:r>
      <w:r>
        <w:t xml:space="preserve"> </w:t>
      </w:r>
      <w:r>
        <w:t xml:space="preserve">as defined terms (currently used everywhere but never formally defined as Millie roles).</w:t>
      </w:r>
      <w:r>
        <w:t xml:space="preserve"> </w:t>
      </w:r>
      <w:r>
        <w:t xml:space="preserve">-</w:t>
      </w:r>
      <w:r>
        <w:t xml:space="preserve"> </w:t>
      </w:r>
      <w:r>
        <w:rPr>
          <w:b/>
          <w:bCs/>
        </w:rPr>
        <w:t xml:space="preserve">Remove</w:t>
      </w:r>
      <w:r>
        <w:t xml:space="preserve"> </w:t>
      </w:r>
      <w:r>
        <w:t xml:space="preserve">the</w:t>
      </w:r>
      <w:r>
        <w:t xml:space="preserve"> </w:t>
      </w:r>
      <w:r>
        <w:t xml:space="preserve">“Scope”</w:t>
      </w:r>
      <w:r>
        <w:t xml:space="preserve"> </w:t>
      </w:r>
      <w:r>
        <w:t xml:space="preserve">header from</w:t>
      </w:r>
      <w:r>
        <w:t xml:space="preserve"> </w:t>
      </w:r>
      <w:r>
        <w:rPr>
          <w:rStyle w:val="VerbatimChar"/>
        </w:rPr>
        <w:t xml:space="preserve">hipaa-definitions.md</w:t>
      </w:r>
      <w:r>
        <w:t xml:space="preserve"> </w:t>
      </w:r>
      <w:r>
        <w:t xml:space="preserve">(it doesn’t need one; it’s a glossary), and remove the boilerplate Scope paragraph. Just leave a 1-line</w:t>
      </w:r>
      <w:r>
        <w:t xml:space="preserve"> </w:t>
      </w:r>
      <w:r>
        <w:t xml:space="preserve">“These definitions apply to all Millie policies.”</w:t>
      </w:r>
    </w:p>
    <w:p>
      <w:pPr>
        <w:pStyle w:val="BodyText"/>
      </w:pPr>
      <w:r>
        <w:t xml:space="preserve">Definitions to centralize (from the files where they currently live):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Currently defined in (delete after centralizing)</w:t>
            </w:r>
          </w:p>
        </w:tc>
      </w:tr>
      <w:tr>
        <w:tc>
          <w:tcPr/>
          <w:p>
            <w:pPr>
              <w:pStyle w:val="Compact"/>
            </w:pPr>
            <w:r>
              <w:rPr>
                <w:rStyle w:val="VerbatimChar"/>
              </w:rPr>
              <w:t xml:space="preserve">Breach</w:t>
            </w:r>
          </w:p>
        </w:tc>
        <w:tc>
          <w:tcPr/>
          <w:p>
            <w:pPr>
              <w:pStyle w:val="Compact"/>
            </w:pPr>
            <w:r>
              <w:rPr>
                <w:rStyle w:val="VerbatimChar"/>
              </w:rPr>
              <w:t xml:space="preserve">hipaa-definitions.md</w:t>
            </w:r>
            <w:r>
              <w:t xml:space="preserve"> </w:t>
            </w:r>
            <w:r>
              <w:t xml:space="preserve">(keep); also implicitly in</w:t>
            </w:r>
            <w:r>
              <w:t xml:space="preserve"> </w:t>
            </w:r>
            <w:r>
              <w:rPr>
                <w:rStyle w:val="VerbatimChar"/>
              </w:rPr>
              <w:t xml:space="preserve">hipaa-breach-notification.md</w:t>
            </w:r>
            <w:r>
              <w:t xml:space="preserve"> </w:t>
            </w:r>
            <w:r>
              <w:rPr>
                <w:rStyle w:val="VerbatimChar"/>
              </w:rPr>
              <w:t xml:space="preserve">privacy-policy.md</w:t>
            </w:r>
          </w:p>
        </w:tc>
      </w:tr>
      <w:tr>
        <w:tc>
          <w:tcPr/>
          <w:p>
            <w:pPr>
              <w:pStyle w:val="Compact"/>
            </w:pPr>
            <w:r>
              <w:rPr>
                <w:rStyle w:val="VerbatimChar"/>
              </w:rPr>
              <w:t xml:space="preserve">Unsecured PHI</w:t>
            </w:r>
          </w:p>
        </w:tc>
        <w:tc>
          <w:tcPr/>
          <w:p>
            <w:pPr>
              <w:pStyle w:val="Compact"/>
            </w:pPr>
            <w:r>
              <w:rPr>
                <w:rStyle w:val="VerbatimChar"/>
              </w:rPr>
              <w:t xml:space="preserve">hipaa-breach-notification.md</w:t>
            </w:r>
            <w:r>
              <w:t xml:space="preserve"> </w:t>
            </w:r>
            <w:r>
              <w:t xml:space="preserve">§II(c) → move to definitions</w:t>
            </w:r>
          </w:p>
        </w:tc>
      </w:tr>
      <w:tr>
        <w:tc>
          <w:tcPr/>
          <w:p>
            <w:pPr>
              <w:pStyle w:val="Compact"/>
            </w:pPr>
            <w:r>
              <w:rPr>
                <w:rStyle w:val="VerbatimChar"/>
              </w:rPr>
              <w:t xml:space="preserve">Disclosure</w:t>
            </w:r>
          </w:p>
        </w:tc>
        <w:tc>
          <w:tcPr/>
          <w:p>
            <w:pPr>
              <w:pStyle w:val="Compact"/>
            </w:pPr>
            <w:r>
              <w:rPr>
                <w:rStyle w:val="VerbatimChar"/>
              </w:rPr>
              <w:t xml:space="preserve">hipaa-breach-notification.md</w:t>
            </w:r>
            <w:r>
              <w:t xml:space="preserve"> </w:t>
            </w:r>
            <w:r>
              <w:t xml:space="preserve">§II(b) → move to definitions</w:t>
            </w:r>
          </w:p>
        </w:tc>
      </w:tr>
      <w:tr>
        <w:tc>
          <w:tcPr/>
          <w:p>
            <w:pPr>
              <w:pStyle w:val="Compact"/>
            </w:pPr>
            <w:r>
              <w:rPr>
                <w:rStyle w:val="VerbatimChar"/>
              </w:rPr>
              <w:t xml:space="preserve">Use</w:t>
            </w:r>
          </w:p>
        </w:tc>
        <w:tc>
          <w:tcPr/>
          <w:p>
            <w:pPr>
              <w:pStyle w:val="Compact"/>
            </w:pPr>
            <w:r>
              <w:rPr>
                <w:rStyle w:val="VerbatimChar"/>
              </w:rPr>
              <w:t xml:space="preserve">hipaa-breach-notification.md</w:t>
            </w:r>
            <w:r>
              <w:t xml:space="preserve"> </w:t>
            </w:r>
            <w:r>
              <w:t xml:space="preserve">§II(d) → move to definitions</w:t>
            </w:r>
          </w:p>
        </w:tc>
      </w:tr>
      <w:tr>
        <w:tc>
          <w:tcPr/>
          <w:p>
            <w:pPr>
              <w:pStyle w:val="Compact"/>
            </w:pPr>
            <w:r>
              <w:rPr>
                <w:rStyle w:val="VerbatimChar"/>
              </w:rPr>
              <w:t xml:space="preserve">Date of Discovery</w:t>
            </w:r>
          </w:p>
        </w:tc>
        <w:tc>
          <w:tcPr/>
          <w:p>
            <w:pPr>
              <w:pStyle w:val="Compact"/>
            </w:pPr>
            <w:r>
              <w:rPr>
                <w:rStyle w:val="VerbatimChar"/>
              </w:rPr>
              <w:t xml:space="preserve">hipaa-breach-notification.md</w:t>
            </w:r>
            <w:r>
              <w:t xml:space="preserve"> </w:t>
            </w:r>
            <w:r>
              <w:t xml:space="preserve">§IV(a)(ii) → move to definitions</w:t>
            </w:r>
          </w:p>
        </w:tc>
      </w:tr>
      <w:tr>
        <w:tc>
          <w:tcPr/>
          <w:p>
            <w:pPr>
              <w:pStyle w:val="Compact"/>
            </w:pPr>
            <w:r>
              <w:rPr>
                <w:rStyle w:val="VerbatimChar"/>
              </w:rPr>
              <w:t xml:space="preserve">Marketing</w:t>
            </w:r>
          </w:p>
        </w:tc>
        <w:tc>
          <w:tcPr/>
          <w:p>
            <w:pPr>
              <w:pStyle w:val="Compact"/>
            </w:pPr>
            <w:r>
              <w:rPr>
                <w:rStyle w:val="VerbatimChar"/>
              </w:rPr>
              <w:t xml:space="preserve">hipaa-marketing.md</w:t>
            </w:r>
            <w:r>
              <w:t xml:space="preserve"> </w:t>
            </w:r>
            <w:r>
              <w:t xml:space="preserve">§II(a) → move to definitions</w:t>
            </w:r>
          </w:p>
        </w:tc>
      </w:tr>
      <w:tr>
        <w:tc>
          <w:tcPr/>
          <w:p>
            <w:pPr>
              <w:pStyle w:val="Compact"/>
            </w:pPr>
            <w:r>
              <w:rPr>
                <w:rStyle w:val="VerbatimChar"/>
              </w:rPr>
              <w:t xml:space="preserve">Financial Remuneration</w:t>
            </w:r>
          </w:p>
        </w:tc>
        <w:tc>
          <w:tcPr/>
          <w:p>
            <w:pPr>
              <w:pStyle w:val="Compact"/>
            </w:pPr>
            <w:r>
              <w:rPr>
                <w:rStyle w:val="VerbatimChar"/>
              </w:rPr>
              <w:t xml:space="preserve">hipaa-marketing.md</w:t>
            </w:r>
            <w:r>
              <w:t xml:space="preserve"> </w:t>
            </w:r>
            <w:r>
              <w:t xml:space="preserve">§II(b) → move to definitions</w:t>
            </w:r>
          </w:p>
        </w:tc>
      </w:tr>
      <w:tr>
        <w:tc>
          <w:tcPr/>
          <w:p>
            <w:pPr>
              <w:pStyle w:val="Compact"/>
            </w:pPr>
            <w:r>
              <w:rPr>
                <w:rStyle w:val="VerbatimChar"/>
              </w:rPr>
              <w:t xml:space="preserve">Limited Data Set</w:t>
            </w:r>
          </w:p>
        </w:tc>
        <w:tc>
          <w:tcPr/>
          <w:p>
            <w:pPr>
              <w:pStyle w:val="Compact"/>
            </w:pPr>
            <w:r>
              <w:rPr>
                <w:rStyle w:val="VerbatimChar"/>
              </w:rPr>
              <w:t xml:space="preserve">hipaa-de-identifying-phi.md</w:t>
            </w:r>
            <w:r>
              <w:t xml:space="preserve"> </w:t>
            </w:r>
            <w:r>
              <w:t xml:space="preserve">§III(c)(ii) → move to definitions</w:t>
            </w:r>
          </w:p>
        </w:tc>
      </w:tr>
    </w:tbl>
    <w:p>
      <w:r>
        <w:pict>
          <v:rect style="width:0;height:1.5pt" o:hralign="center" o:hrstd="t" o:hr="t"/>
        </w:pict>
      </w:r>
    </w:p>
    <w:bookmarkEnd w:id="48"/>
    <w:bookmarkStart w:id="54" w:name="boilerplate-strategy"/>
    <w:p>
      <w:pPr>
        <w:pStyle w:val="Heading2"/>
      </w:pPr>
      <w:r>
        <w:t xml:space="preserve">§5 — Boilerplate strategy</w:t>
      </w:r>
    </w:p>
    <w:p>
      <w:pPr>
        <w:pStyle w:val="FirstParagraph"/>
      </w:pPr>
      <w:r>
        <w:t xml:space="preserve">Three categories of boilerplate need different treatment.</w:t>
      </w:r>
    </w:p>
    <w:bookmarkStart w:id="49" w:name="X2b87cbe88427c3fe8bd4b27d8757f742fd4d584"/>
    <w:p>
      <w:pPr>
        <w:pStyle w:val="Heading3"/>
      </w:pPr>
      <w:r>
        <w:t xml:space="preserve">5a — Scope statement (the</w:t>
      </w:r>
      <w:r>
        <w:t xml:space="preserve"> </w:t>
      </w:r>
      <w:r>
        <w:t xml:space="preserve">“applies to all facilities and locations…”</w:t>
      </w:r>
      <w:r>
        <w:t xml:space="preserve"> </w:t>
      </w:r>
      <w:r>
        <w:t xml:space="preserve">paragraph)</w:t>
      </w:r>
    </w:p>
    <w:p>
      <w:pPr>
        <w:pStyle w:val="FirstParagraph"/>
      </w:pPr>
      <w:r>
        <w:rPr>
          <w:b/>
          <w:bCs/>
        </w:rPr>
        <w:t xml:space="preserve">Recommendation: Extract once to a shared preamble at the top of each consolidated policy, OR drop it entirely in favor of a one-line statement at the top of the README + each policy.</w:t>
      </w:r>
    </w:p>
    <w:p>
      <w:pPr>
        <w:pStyle w:val="BodyText"/>
      </w:pPr>
      <w:r>
        <w:t xml:space="preserve">Currently this 60-word paragraph appears 19 times in the policy folder + 9 more times inside</w:t>
      </w:r>
      <w:r>
        <w:t xml:space="preserve"> </w:t>
      </w:r>
      <w:r>
        <w:rPr>
          <w:rStyle w:val="VerbatimChar"/>
        </w:rPr>
        <w:t xml:space="preserve">privacy-policy.md</w:t>
      </w:r>
      <w:r>
        <w:t xml:space="preserve">. After consolidation to 6 policies, it would still repeat 6 times — which is fine for standalone readability. Suggested unified wording (fixes the missing-space typo):</w:t>
      </w:r>
    </w:p>
    <w:p>
      <w:pPr>
        <w:pStyle w:val="BlockText"/>
      </w:pPr>
      <w:r>
        <w:rPr>
          <w:b/>
          <w:bCs/>
        </w:rPr>
        <w:t xml:space="preserve">Scope.</w:t>
      </w:r>
      <w:r>
        <w:t xml:space="preserve"> </w:t>
      </w:r>
      <w:r>
        <w:t xml:space="preserve">This policy applies to all facilities and locations owned, operated, or managed by Millie, Inc. (</w:t>
      </w:r>
      <w:r>
        <w:t xml:space="preserve">“Company”</w:t>
      </w:r>
      <w:r>
        <w:t xml:space="preserve">), and all Company personnel. For purposes of this policy, the term</w:t>
      </w:r>
      <w:r>
        <w:t xml:space="preserve"> </w:t>
      </w:r>
      <w:r>
        <w:t xml:space="preserve">“personnel”</w:t>
      </w:r>
      <w:r>
        <w:t xml:space="preserve"> </w:t>
      </w:r>
      <w:r>
        <w:t xml:space="preserve">includes all licensed professionals and staff who perform services on behalf of Company.</w:t>
      </w:r>
    </w:p>
    <w:p>
      <w:pPr>
        <w:pStyle w:val="FirstParagraph"/>
      </w:pPr>
      <w:r>
        <w:t xml:space="preserve">Variant for</w:t>
      </w:r>
      <w:r>
        <w:t xml:space="preserve"> </w:t>
      </w:r>
      <w:r>
        <w:rPr>
          <w:rStyle w:val="VerbatimChar"/>
        </w:rPr>
        <w:t xml:space="preserve">sdlc-and-asset-lifecycle.md</w:t>
      </w:r>
      <w:r>
        <w:t xml:space="preserve"> </w:t>
      </w:r>
      <w:r>
        <w:t xml:space="preserve">keeps its broader systems/contractors scope.</w:t>
      </w:r>
    </w:p>
    <w:bookmarkEnd w:id="49"/>
    <w:bookmarkStart w:id="50" w:name="b-training-requirement"/>
    <w:p>
      <w:pPr>
        <w:pStyle w:val="Heading3"/>
      </w:pPr>
      <w:r>
        <w:t xml:space="preserve">5b — Training requirement</w:t>
      </w:r>
    </w:p>
    <w:p>
      <w:pPr>
        <w:pStyle w:val="FirstParagraph"/>
      </w:pPr>
      <w:r>
        <w:rPr>
          <w:b/>
          <w:bCs/>
        </w:rPr>
        <w:t xml:space="preserve">Recommendation: Single canonical statement in</w:t>
      </w:r>
      <w:r>
        <w:rPr>
          <w:b/>
          <w:bCs/>
        </w:rPr>
        <w:t xml:space="preserve"> </w:t>
      </w:r>
      <w:r>
        <w:rPr>
          <w:rStyle w:val="VerbatimChar"/>
          <w:b/>
          <w:bCs/>
        </w:rPr>
        <w:t xml:space="preserve">operational-safeguards.md</w:t>
      </w:r>
      <w:r>
        <w:rPr>
          <w:b/>
          <w:bCs/>
        </w:rPr>
        <w:t xml:space="preserve"> </w:t>
      </w:r>
      <w:r>
        <w:rPr>
          <w:b/>
          <w:bCs/>
        </w:rPr>
        <w:t xml:space="preserve">§6 (Training).</w:t>
      </w:r>
      <w:r>
        <w:t xml:space="preserve"> </w:t>
      </w:r>
      <w:r>
        <w:t xml:space="preserve">Other policies that currently embed training language (</w:t>
      </w:r>
      <w:r>
        <w:rPr>
          <w:rStyle w:val="VerbatimChar"/>
        </w:rPr>
        <w:t xml:space="preserve">hipaa-encryption.md</w:t>
      </w:r>
      <w:r>
        <w:t xml:space="preserve">,</w:t>
      </w:r>
      <w:r>
        <w:t xml:space="preserve"> </w:t>
      </w:r>
      <w:r>
        <w:rPr>
          <w:rStyle w:val="VerbatimChar"/>
        </w:rPr>
        <w:t xml:space="preserve">hipaa-paper-documents.md</w:t>
      </w:r>
      <w:r>
        <w:t xml:space="preserve">,</w:t>
      </w:r>
      <w:r>
        <w:t xml:space="preserve"> </w:t>
      </w:r>
      <w:r>
        <w:rPr>
          <w:rStyle w:val="VerbatimChar"/>
        </w:rPr>
        <w:t xml:space="preserve">hipaa-contingency-planning.md</w:t>
      </w:r>
      <w:r>
        <w:t xml:space="preserve">) replace it with:</w:t>
      </w:r>
      <w:r>
        <w:t xml:space="preserve"> </w:t>
      </w:r>
      <w:r>
        <w:rPr>
          <w:i/>
          <w:iCs/>
        </w:rPr>
        <w:t xml:space="preserve">“All personnel receive HIPAA training on hire and annually — see</w:t>
      </w:r>
      <w:r>
        <w:rPr>
          <w:i/>
          <w:iCs/>
        </w:rPr>
        <w:t xml:space="preserve"> </w:t>
      </w:r>
      <w:r>
        <w:rPr>
          <w:rStyle w:val="VerbatimChar"/>
          <w:i/>
          <w:iCs/>
        </w:rPr>
        <w:t xml:space="preserve">operational-safeguards.md</w:t>
      </w:r>
      <w:r>
        <w:rPr>
          <w:i/>
          <w:iCs/>
        </w:rPr>
        <w:t xml:space="preserve"> </w:t>
      </w:r>
      <w:r>
        <w:rPr>
          <w:i/>
          <w:iCs/>
        </w:rPr>
        <w:t xml:space="preserve">§6.”</w:t>
      </w:r>
    </w:p>
    <w:p>
      <w:pPr>
        <w:pStyle w:val="BodyText"/>
      </w:pPr>
      <w:r>
        <w:t xml:space="preserve">The README’s Annual section already correctly anchors training to</w:t>
      </w:r>
      <w:r>
        <w:t xml:space="preserve"> </w:t>
      </w:r>
      <w:r>
        <w:rPr>
          <w:rStyle w:val="VerbatimChar"/>
        </w:rPr>
        <w:t xml:space="preserve">hipaa-safeguards.md</w:t>
      </w:r>
      <w:r>
        <w:t xml:space="preserve"> </w:t>
      </w:r>
      <w:r>
        <w:t xml:space="preserve">— update that link to the new file.</w:t>
      </w:r>
    </w:p>
    <w:bookmarkEnd w:id="50"/>
    <w:bookmarkStart w:id="51" w:name="c-disciplinary-action-sanctions"/>
    <w:p>
      <w:pPr>
        <w:pStyle w:val="Heading3"/>
      </w:pPr>
      <w:r>
        <w:t xml:space="preserve">5c — Disciplinary action / sanctions</w:t>
      </w:r>
    </w:p>
    <w:p>
      <w:pPr>
        <w:pStyle w:val="FirstParagraph"/>
      </w:pPr>
      <w:r>
        <w:rPr>
          <w:b/>
          <w:bCs/>
        </w:rPr>
        <w:t xml:space="preserve">Recommendation: Add a single sanctions clause to</w:t>
      </w:r>
      <w:r>
        <w:rPr>
          <w:b/>
          <w:bCs/>
        </w:rPr>
        <w:t xml:space="preserve"> </w:t>
      </w:r>
      <w:r>
        <w:rPr>
          <w:rStyle w:val="VerbatimChar"/>
          <w:b/>
          <w:bCs/>
        </w:rPr>
        <w:t xml:space="preserve">governance-and-risk-management.md</w:t>
      </w:r>
      <w:r>
        <w:t xml:space="preserve"> </w:t>
      </w:r>
      <w:r>
        <w:t xml:space="preserve">that covers all policies, modeled on the existing language in</w:t>
      </w:r>
      <w:r>
        <w:t xml:space="preserve"> </w:t>
      </w:r>
      <w:r>
        <w:rPr>
          <w:rStyle w:val="VerbatimChar"/>
        </w:rPr>
        <w:t xml:space="preserve">hipaa-risk-management.md</w:t>
      </w:r>
      <w:r>
        <w:t xml:space="preserve"> </w:t>
      </w:r>
      <w:r>
        <w:t xml:space="preserve">§II(d):</w:t>
      </w:r>
    </w:p>
    <w:p>
      <w:pPr>
        <w:pStyle w:val="BlockText"/>
      </w:pPr>
      <w:r>
        <w:rPr>
          <w:b/>
          <w:bCs/>
        </w:rPr>
        <w:t xml:space="preserve">Sanctions.</w:t>
      </w:r>
      <w:r>
        <w:t xml:space="preserve"> </w:t>
      </w:r>
      <w:r>
        <w:t xml:space="preserve">Any personnel member who violates this Policy or any other Millie information privacy or security policy will be subject to disciplinary action up to and including termination, based on the severity of the violation, in accordance with Millie’s Corrective Action Policy.</w:t>
      </w:r>
    </w:p>
    <w:p>
      <w:pPr>
        <w:pStyle w:val="FirstParagraph"/>
      </w:pPr>
      <w:r>
        <w:t xml:space="preserve">This closes the gap noted in §1.4 and satisfies 45 CFR §164.530(e) at a single location. (Note: the Corrective Action Policy is referenced in</w:t>
      </w:r>
      <w:r>
        <w:t xml:space="preserve"> </w:t>
      </w:r>
      <w:r>
        <w:rPr>
          <w:rStyle w:val="VerbatimChar"/>
        </w:rPr>
        <w:t xml:space="preserve">hipaa-breach-notification.md</w:t>
      </w:r>
      <w:r>
        <w:t xml:space="preserve"> </w:t>
      </w:r>
      <w:r>
        <w:t xml:space="preserve">but does not exist in this repo — flag for separate authoring.)</w:t>
      </w:r>
    </w:p>
    <w:bookmarkEnd w:id="51"/>
    <w:bookmarkStart w:id="52" w:name="d-frontmatter-metadata-table"/>
    <w:p>
      <w:pPr>
        <w:pStyle w:val="Heading3"/>
      </w:pPr>
      <w:r>
        <w:t xml:space="preserve">5d — Frontmatter &amp; metadata table</w:t>
      </w:r>
    </w:p>
    <w:p>
      <w:pPr>
        <w:pStyle w:val="FirstParagraph"/>
      </w:pPr>
      <w:r>
        <w:rPr>
          <w:b/>
          <w:bCs/>
        </w:rPr>
        <w:t xml:space="preserve">Recommendation: Pick ONE.</w:t>
      </w:r>
      <w:r>
        <w:t xml:space="preserve"> </w:t>
      </w:r>
      <w:r>
        <w:t xml:space="preserve">Currently every file has both YAML frontmatter (</w:t>
      </w:r>
      <w:r>
        <w:rPr>
          <w:rStyle w:val="VerbatimChar"/>
        </w:rPr>
        <w:t xml:space="preserve">title:</w:t>
      </w:r>
      <w:r>
        <w:t xml:space="preserve">,</w:t>
      </w:r>
      <w:r>
        <w:t xml:space="preserve"> </w:t>
      </w:r>
      <w:r>
        <w:rPr>
          <w:rStyle w:val="VerbatimChar"/>
        </w:rPr>
        <w:t xml:space="preserve">last_reviewed:</w:t>
      </w:r>
      <w:r>
        <w:t xml:space="preserve">,</w:t>
      </w:r>
      <w:r>
        <w:t xml:space="preserve"> </w:t>
      </w:r>
      <w:r>
        <w:rPr>
          <w:rStyle w:val="VerbatimChar"/>
        </w:rPr>
        <w:t xml:space="preserve">owner:</w:t>
      </w:r>
      <w:r>
        <w:t xml:space="preserve">) AND a 2-row markdown metadata table (Title, Policy #, Effective Date, Last Revised). This is triple-redundant with the file’s H1.</w:t>
      </w:r>
    </w:p>
    <w:p>
      <w:pPr>
        <w:pStyle w:val="BodyText"/>
      </w:pPr>
      <w:r>
        <w:t xml:space="preserve">Suggest: keep YAML frontmatter and add</w:t>
      </w:r>
      <w:r>
        <w:t xml:space="preserve"> </w:t>
      </w:r>
      <w:r>
        <w:rPr>
          <w:rStyle w:val="VerbatimChar"/>
        </w:rPr>
        <w:t xml:space="preserve">policy_number:</w:t>
      </w:r>
      <w:r>
        <w:t xml:space="preserve">,</w:t>
      </w:r>
      <w:r>
        <w:t xml:space="preserve"> </w:t>
      </w:r>
      <w:r>
        <w:rPr>
          <w:rStyle w:val="VerbatimChar"/>
        </w:rPr>
        <w:t xml:space="preserve">effective_date:</w:t>
      </w:r>
      <w:r>
        <w:t xml:space="preserve">, and</w:t>
      </w:r>
      <w:r>
        <w:t xml:space="preserve"> </w:t>
      </w:r>
      <w:r>
        <w:rPr>
          <w:rStyle w:val="VerbatimChar"/>
        </w:rPr>
        <w:t xml:space="preserve">last_revised:</w:t>
      </w:r>
      <w:r>
        <w:t xml:space="preserve"> </w:t>
      </w:r>
      <w:r>
        <w:t xml:space="preserve">fields to it. Delete the markdown metadata table from every file. This is a separate, easy janitorial pass.</w:t>
      </w:r>
    </w:p>
    <w:bookmarkEnd w:id="52"/>
    <w:bookmarkStart w:id="53" w:name="e-review-cadence"/>
    <w:p>
      <w:pPr>
        <w:pStyle w:val="Heading3"/>
      </w:pPr>
      <w:r>
        <w:t xml:space="preserve">5e — Review cadence</w:t>
      </w:r>
    </w:p>
    <w:p>
      <w:pPr>
        <w:pStyle w:val="FirstParagraph"/>
      </w:pPr>
      <w:r>
        <w:t xml:space="preserve">Only</w:t>
      </w:r>
      <w:r>
        <w:t xml:space="preserve"> </w:t>
      </w:r>
      <w:r>
        <w:rPr>
          <w:rStyle w:val="VerbatimChar"/>
        </w:rPr>
        <w:t xml:space="preserve">hipaa-security-incidents.md</w:t>
      </w:r>
      <w:r>
        <w:t xml:space="preserve"> </w:t>
      </w:r>
      <w:r>
        <w:t xml:space="preserve">currently has explicit</w:t>
      </w:r>
      <w:r>
        <w:t xml:space="preserve"> </w:t>
      </w:r>
      <w:r>
        <w:t xml:space="preserve">“Last Reviewed / Review Cadence”</w:t>
      </w:r>
      <w:r>
        <w:t xml:space="preserve"> </w:t>
      </w:r>
      <w:r>
        <w:t xml:space="preserve">rows. The README’s Annual section says</w:t>
      </w:r>
      <w:r>
        <w:t xml:space="preserve"> </w:t>
      </w:r>
      <w:r>
        <w:t xml:space="preserve">“Review and refresh every policy in this folder”</w:t>
      </w:r>
      <w:r>
        <w:t xml:space="preserve"> </w:t>
      </w:r>
      <w:r>
        <w:t xml:space="preserve">— so the cadence is consistent (annual). Recommend adding</w:t>
      </w:r>
      <w:r>
        <w:t xml:space="preserve"> </w:t>
      </w:r>
      <w:r>
        <w:rPr>
          <w:rStyle w:val="VerbatimChar"/>
        </w:rPr>
        <w:t xml:space="preserve">review_cadence: annual</w:t>
      </w:r>
      <w:r>
        <w:t xml:space="preserve"> </w:t>
      </w:r>
      <w:r>
        <w:t xml:space="preserve">to the frontmatter of all 6 consolidated policies rather than embedding it in each document body.</w:t>
      </w:r>
    </w:p>
    <w:p>
      <w:r>
        <w:pict>
          <v:rect style="width:0;height:1.5pt" o:hralign="center" o:hrstd="t" o:hr="t"/>
        </w:pict>
      </w:r>
    </w:p>
    <w:bookmarkEnd w:id="53"/>
    <w:bookmarkEnd w:id="54"/>
    <w:bookmarkStart w:id="63" w:name="migration-steps"/>
    <w:p>
      <w:pPr>
        <w:pStyle w:val="Heading2"/>
      </w:pPr>
      <w:r>
        <w:t xml:space="preserve">§6 — Migration steps</w:t>
      </w:r>
    </w:p>
    <w:p>
      <w:pPr>
        <w:pStyle w:val="FirstParagraph"/>
      </w:pPr>
      <w:r>
        <w:t xml:space="preserve">Suggested ordering. Each step is independently shippable so the repo never has broken cross-references at HEAD.</w:t>
      </w:r>
    </w:p>
    <w:bookmarkStart w:id="55" w:name="step-0-preparation-no-file-moves"/>
    <w:p>
      <w:pPr>
        <w:pStyle w:val="Heading3"/>
      </w:pPr>
      <w:r>
        <w:t xml:space="preserve">Step 0 — Preparation (no file moves)</w:t>
      </w:r>
    </w:p>
    <w:p>
      <w:pPr>
        <w:pStyle w:val="Compact"/>
        <w:numPr>
          <w:ilvl w:val="0"/>
          <w:numId w:val="1044"/>
        </w:numPr>
      </w:pPr>
      <w:r>
        <w:rPr>
          <w:b/>
          <w:bCs/>
        </w:rPr>
        <w:t xml:space="preserve">Rescue the Device &amp; Media Management content</w:t>
      </w:r>
      <w:r>
        <w:t xml:space="preserve"> </w:t>
      </w:r>
      <w:r>
        <w:t xml:space="preserve">from</w:t>
      </w:r>
      <w:r>
        <w:t xml:space="preserve"> </w:t>
      </w:r>
      <w:r>
        <w:rPr>
          <w:rStyle w:val="VerbatimChar"/>
        </w:rPr>
        <w:t xml:space="preserve">privacy-policy.md</w:t>
      </w:r>
      <w:r>
        <w:t xml:space="preserve"> </w:t>
      </w:r>
      <w:r>
        <w:t xml:space="preserve">lines 564–609 to a temporary working file. This is the only place where IT-004 lives.</w:t>
      </w:r>
    </w:p>
    <w:p>
      <w:pPr>
        <w:pStyle w:val="Compact"/>
        <w:numPr>
          <w:ilvl w:val="0"/>
          <w:numId w:val="1044"/>
        </w:numPr>
      </w:pPr>
      <w:r>
        <w:rPr>
          <w:b/>
          <w:bCs/>
        </w:rPr>
        <w:t xml:space="preserve">Verify no other file references</w:t>
      </w:r>
      <w:r>
        <w:t xml:space="preserve"> </w:t>
      </w:r>
      <w:r>
        <w:t xml:space="preserve">any of the 24 file names except via README. Run</w:t>
      </w:r>
      <w:r>
        <w:t xml:space="preserve"> </w:t>
      </w:r>
      <w:r>
        <w:rPr>
          <w:rStyle w:val="VerbatimChar"/>
        </w:rPr>
        <w:t xml:space="preserve">grep -r '\.md' "New Policy Docs/"</w:t>
      </w:r>
      <w:r>
        <w:t xml:space="preserve">. The current cross-references are mostly prose (</w:t>
      </w:r>
      <w:r>
        <w:t xml:space="preserve">“See Workstation Use, Encryption…”</w:t>
      </w:r>
      <w:r>
        <w:t xml:space="preserve">) rather than file links, so URL breakage is minimal, but worth confirming.</w:t>
      </w:r>
    </w:p>
    <w:p>
      <w:pPr>
        <w:pStyle w:val="Compact"/>
        <w:numPr>
          <w:ilvl w:val="0"/>
          <w:numId w:val="1044"/>
        </w:numPr>
      </w:pPr>
      <w:r>
        <w:rPr>
          <w:b/>
          <w:bCs/>
        </w:rPr>
        <w:t xml:space="preserve">Decide Scenario A vs B for</w:t>
      </w:r>
      <w:r>
        <w:rPr>
          <w:b/>
          <w:bCs/>
        </w:rPr>
        <w:t xml:space="preserve"> </w:t>
      </w:r>
      <w:r>
        <w:rPr>
          <w:rStyle w:val="VerbatimChar"/>
          <w:b/>
          <w:bCs/>
        </w:rPr>
        <w:t xml:space="preserve">privacy-policy.md</w:t>
      </w:r>
      <w:r>
        <w:t xml:space="preserve"> </w:t>
      </w:r>
      <w:r>
        <w:t xml:space="preserve">(§3.10). Default to B.</w:t>
      </w:r>
    </w:p>
    <w:p>
      <w:pPr>
        <w:pStyle w:val="Compact"/>
        <w:numPr>
          <w:ilvl w:val="0"/>
          <w:numId w:val="1044"/>
        </w:numPr>
      </w:pPr>
      <w:r>
        <w:rPr>
          <w:b/>
          <w:bCs/>
        </w:rPr>
        <w:t xml:space="preserve">Decide whether to keep BAA standalone or fold into Governance</w:t>
      </w:r>
      <w:r>
        <w:t xml:space="preserve"> </w:t>
      </w:r>
      <w:r>
        <w:t xml:space="preserve">(§3.7).</w:t>
      </w:r>
    </w:p>
    <w:p>
      <w:pPr>
        <w:pStyle w:val="Compact"/>
        <w:numPr>
          <w:ilvl w:val="0"/>
          <w:numId w:val="1044"/>
        </w:numPr>
      </w:pPr>
      <w:r>
        <w:rPr>
          <w:b/>
          <w:bCs/>
        </w:rPr>
        <w:t xml:space="preserve">Confirm definition reconciliation for</w:t>
      </w:r>
      <w:r>
        <w:rPr>
          <w:b/>
          <w:bCs/>
        </w:rPr>
        <w:t xml:space="preserve"> </w:t>
      </w:r>
      <w:r>
        <w:rPr>
          <w:rStyle w:val="VerbatimChar"/>
          <w:b/>
          <w:bCs/>
        </w:rPr>
        <w:t xml:space="preserve">Risk Management Team</w:t>
      </w:r>
      <w:r>
        <w:rPr>
          <w:b/>
          <w:bCs/>
        </w:rPr>
        <w:t xml:space="preserve"> </w:t>
      </w:r>
      <w:r>
        <w:rPr>
          <w:b/>
          <w:bCs/>
        </w:rPr>
        <w:t xml:space="preserve">vs</w:t>
      </w:r>
      <w:r>
        <w:rPr>
          <w:b/>
          <w:bCs/>
        </w:rPr>
        <w:t xml:space="preserve"> </w:t>
      </w:r>
      <w:r>
        <w:rPr>
          <w:rStyle w:val="VerbatimChar"/>
          <w:b/>
          <w:bCs/>
        </w:rPr>
        <w:t xml:space="preserve">Risk Review Committee</w:t>
      </w:r>
      <w:r>
        <w:t xml:space="preserve"> </w:t>
      </w:r>
      <w:r>
        <w:t xml:space="preserve">with the policy owners.</w:t>
      </w:r>
    </w:p>
    <w:bookmarkEnd w:id="55"/>
    <w:bookmarkStart w:id="56" w:name="X2472a312417030af942d501ff6045d213d98f1c"/>
    <w:p>
      <w:pPr>
        <w:pStyle w:val="Heading3"/>
      </w:pPr>
      <w:r>
        <w:t xml:space="preserve">Step 1 — Definitions consolidation (low-risk warm-up)</w:t>
      </w:r>
    </w:p>
    <w:p>
      <w:pPr>
        <w:pStyle w:val="FirstParagraph"/>
      </w:pPr>
      <w:r>
        <w:t xml:space="preserve">Update</w:t>
      </w:r>
      <w:r>
        <w:t xml:space="preserve"> </w:t>
      </w:r>
      <w:r>
        <w:rPr>
          <w:rStyle w:val="VerbatimChar"/>
        </w:rPr>
        <w:t xml:space="preserve">hipaa-definitions.md</w:t>
      </w:r>
      <w:r>
        <w:t xml:space="preserve"> </w:t>
      </w:r>
      <w:r>
        <w:t xml:space="preserve">to add the centralized terms listed in §4. This file gets touched but does not yet rename or delete anything. Run a search for each newly-centralized term in the rest of the policies; replace inline definitions with cross-references.</w:t>
      </w:r>
    </w:p>
    <w:bookmarkEnd w:id="56"/>
    <w:bookmarkStart w:id="57" w:name="step-2-create-the-6-new-thematic-files"/>
    <w:p>
      <w:pPr>
        <w:pStyle w:val="Heading3"/>
      </w:pPr>
      <w:r>
        <w:t xml:space="preserve">Step 2 — Create the 6 new thematic files</w:t>
      </w:r>
    </w:p>
    <w:p>
      <w:pPr>
        <w:pStyle w:val="FirstParagraph"/>
      </w:pPr>
      <w:r>
        <w:t xml:space="preserve">In a single PR (or 6 small ones if review bandwidth is tight), create:</w:t>
      </w:r>
    </w:p>
    <w:p>
      <w:pPr>
        <w:pStyle w:val="Compact"/>
        <w:numPr>
          <w:ilvl w:val="0"/>
          <w:numId w:val="1045"/>
        </w:numPr>
      </w:pPr>
      <w:r>
        <w:rPr>
          <w:rStyle w:val="VerbatimChar"/>
        </w:rPr>
        <w:t xml:space="preserve">governance-and-risk-management.md</w:t>
      </w:r>
      <w:r>
        <w:t xml:space="preserve"> </w:t>
      </w:r>
      <w:r>
        <w:t xml:space="preserve">(merges</w:t>
      </w:r>
      <w:r>
        <w:t xml:space="preserve"> </w:t>
      </w:r>
      <w:r>
        <w:rPr>
          <w:rStyle w:val="VerbatimChar"/>
        </w:rPr>
        <w:t xml:space="preserve">information-security-framework.md</w:t>
      </w:r>
      <w:r>
        <w:t xml:space="preserve"> </w:t>
      </w:r>
      <w:r>
        <w:t xml:space="preserve">+</w:t>
      </w:r>
      <w:r>
        <w:t xml:space="preserve"> </w:t>
      </w:r>
      <w:r>
        <w:rPr>
          <w:rStyle w:val="VerbatimChar"/>
        </w:rPr>
        <w:t xml:space="preserve">hipaa-risk-management.md</w:t>
      </w:r>
      <w:r>
        <w:t xml:space="preserve">)</w:t>
      </w:r>
    </w:p>
    <w:p>
      <w:pPr>
        <w:pStyle w:val="Compact"/>
        <w:numPr>
          <w:ilvl w:val="0"/>
          <w:numId w:val="1045"/>
        </w:numPr>
      </w:pPr>
      <w:r>
        <w:rPr>
          <w:rStyle w:val="VerbatimChar"/>
        </w:rPr>
        <w:t xml:space="preserve">phi-use-and-disclosure.md</w:t>
      </w:r>
      <w:r>
        <w:t xml:space="preserve"> </w:t>
      </w:r>
      <w:r>
        <w:t xml:space="preserve">(merges</w:t>
      </w:r>
      <w:r>
        <w:t xml:space="preserve"> </w:t>
      </w:r>
      <w:r>
        <w:rPr>
          <w:rStyle w:val="VerbatimChar"/>
        </w:rPr>
        <w:t xml:space="preserve">hipaa-phi-use-and-disclosure.md</w:t>
      </w:r>
      <w:r>
        <w:t xml:space="preserve"> </w:t>
      </w:r>
      <w:r>
        <w:t xml:space="preserve">+</w:t>
      </w:r>
      <w:r>
        <w:t xml:space="preserve"> </w:t>
      </w:r>
      <w:r>
        <w:rPr>
          <w:rStyle w:val="VerbatimChar"/>
        </w:rPr>
        <w:t xml:space="preserve">hipaa-minimum-necessary.md</w:t>
      </w:r>
      <w:r>
        <w:t xml:space="preserve"> </w:t>
      </w:r>
      <w:r>
        <w:t xml:space="preserve">+</w:t>
      </w:r>
      <w:r>
        <w:t xml:space="preserve"> </w:t>
      </w:r>
      <w:r>
        <w:rPr>
          <w:rStyle w:val="VerbatimChar"/>
        </w:rPr>
        <w:t xml:space="preserve">hipaa-de-identifying-phi.md</w:t>
      </w:r>
      <w:r>
        <w:t xml:space="preserve"> </w:t>
      </w:r>
      <w:r>
        <w:t xml:space="preserve">+</w:t>
      </w:r>
      <w:r>
        <w:t xml:space="preserve"> </w:t>
      </w:r>
      <w:r>
        <w:rPr>
          <w:rStyle w:val="VerbatimChar"/>
        </w:rPr>
        <w:t xml:space="preserve">hipaa-marketing.md</w:t>
      </w:r>
      <w:r>
        <w:t xml:space="preserve">)</w:t>
      </w:r>
    </w:p>
    <w:p>
      <w:pPr>
        <w:pStyle w:val="Compact"/>
        <w:numPr>
          <w:ilvl w:val="0"/>
          <w:numId w:val="1045"/>
        </w:numPr>
      </w:pPr>
      <w:r>
        <w:rPr>
          <w:rStyle w:val="VerbatimChar"/>
        </w:rPr>
        <w:t xml:space="preserve">patient-rights.md</w:t>
      </w:r>
      <w:r>
        <w:t xml:space="preserve"> </w:t>
      </w:r>
      <w:r>
        <w:t xml:space="preserve">(merges</w:t>
      </w:r>
      <w:r>
        <w:t xml:space="preserve"> </w:t>
      </w:r>
      <w:r>
        <w:rPr>
          <w:rStyle w:val="VerbatimChar"/>
        </w:rPr>
        <w:t xml:space="preserve">hipaa-right-to-access.md</w:t>
      </w:r>
      <w:r>
        <w:t xml:space="preserve"> </w:t>
      </w:r>
      <w:r>
        <w:t xml:space="preserve">+</w:t>
      </w:r>
      <w:r>
        <w:t xml:space="preserve"> </w:t>
      </w:r>
      <w:r>
        <w:rPr>
          <w:rStyle w:val="VerbatimChar"/>
        </w:rPr>
        <w:t xml:space="preserve">hipaa-right-to-amend.md</w:t>
      </w:r>
      <w:r>
        <w:t xml:space="preserve"> </w:t>
      </w:r>
      <w:r>
        <w:t xml:space="preserve">+</w:t>
      </w:r>
      <w:r>
        <w:t xml:space="preserve"> </w:t>
      </w:r>
      <w:r>
        <w:rPr>
          <w:rStyle w:val="VerbatimChar"/>
        </w:rPr>
        <w:t xml:space="preserve">hipaa-accounting-of-disclosures.md</w:t>
      </w:r>
      <w:r>
        <w:t xml:space="preserve">)</w:t>
      </w:r>
    </w:p>
    <w:p>
      <w:pPr>
        <w:pStyle w:val="Compact"/>
        <w:numPr>
          <w:ilvl w:val="0"/>
          <w:numId w:val="1045"/>
        </w:numPr>
      </w:pPr>
      <w:r>
        <w:rPr>
          <w:rStyle w:val="VerbatimChar"/>
        </w:rPr>
        <w:t xml:space="preserve">technical-safeguards.md</w:t>
      </w:r>
      <w:r>
        <w:t xml:space="preserve"> </w:t>
      </w:r>
      <w:r>
        <w:t xml:space="preserve">(merges</w:t>
      </w:r>
      <w:r>
        <w:t xml:space="preserve"> </w:t>
      </w:r>
      <w:r>
        <w:rPr>
          <w:rStyle w:val="VerbatimChar"/>
        </w:rPr>
        <w:t xml:space="preserve">hipaa-encryption.md</w:t>
      </w:r>
      <w:r>
        <w:t xml:space="preserve"> </w:t>
      </w:r>
      <w:r>
        <w:t xml:space="preserve">+</w:t>
      </w:r>
      <w:r>
        <w:t xml:space="preserve"> </w:t>
      </w:r>
      <w:r>
        <w:rPr>
          <w:rStyle w:val="VerbatimChar"/>
        </w:rPr>
        <w:t xml:space="preserve">hipaa-passwords.md</w:t>
      </w:r>
      <w:r>
        <w:t xml:space="preserve"> </w:t>
      </w:r>
      <w:r>
        <w:t xml:space="preserve">+</w:t>
      </w:r>
      <w:r>
        <w:t xml:space="preserve"> </w:t>
      </w:r>
      <w:r>
        <w:rPr>
          <w:rStyle w:val="VerbatimChar"/>
        </w:rPr>
        <w:t xml:space="preserve">hipaa-remote-access.md</w:t>
      </w:r>
      <w:r>
        <w:t xml:space="preserve"> </w:t>
      </w:r>
      <w:r>
        <w:t xml:space="preserve">+</w:t>
      </w:r>
      <w:r>
        <w:t xml:space="preserve"> </w:t>
      </w:r>
      <w:r>
        <w:rPr>
          <w:rStyle w:val="VerbatimChar"/>
        </w:rPr>
        <w:t xml:space="preserve">hipaa-workstation-use.md</w:t>
      </w:r>
      <w:r>
        <w:t xml:space="preserve"> </w:t>
      </w:r>
      <w:r>
        <w:t xml:space="preserve">+</w:t>
      </w:r>
      <w:r>
        <w:t xml:space="preserve"> </w:t>
      </w:r>
      <w:r>
        <w:rPr>
          <w:b/>
          <w:bCs/>
        </w:rPr>
        <w:t xml:space="preserve">rescued IT-004 Device &amp; Media Management content</w:t>
      </w:r>
      <w:r>
        <w:t xml:space="preserve">)</w:t>
      </w:r>
    </w:p>
    <w:p>
      <w:pPr>
        <w:pStyle w:val="Compact"/>
        <w:numPr>
          <w:ilvl w:val="0"/>
          <w:numId w:val="1045"/>
        </w:numPr>
      </w:pPr>
      <w:r>
        <w:rPr>
          <w:rStyle w:val="VerbatimChar"/>
        </w:rPr>
        <w:t xml:space="preserve">operational-safeguards.md</w:t>
      </w:r>
      <w:r>
        <w:t xml:space="preserve"> </w:t>
      </w:r>
      <w:r>
        <w:t xml:space="preserve">(merges</w:t>
      </w:r>
      <w:r>
        <w:t xml:space="preserve"> </w:t>
      </w:r>
      <w:r>
        <w:rPr>
          <w:rStyle w:val="VerbatimChar"/>
        </w:rPr>
        <w:t xml:space="preserve">hipaa-safeguards.md</w:t>
      </w:r>
      <w:r>
        <w:t xml:space="preserve"> </w:t>
      </w:r>
      <w:r>
        <w:t xml:space="preserve">+</w:t>
      </w:r>
      <w:r>
        <w:t xml:space="preserve"> </w:t>
      </w:r>
      <w:r>
        <w:rPr>
          <w:rStyle w:val="VerbatimChar"/>
        </w:rPr>
        <w:t xml:space="preserve">hipaa-paper-documents.md</w:t>
      </w:r>
      <w:r>
        <w:t xml:space="preserve"> </w:t>
      </w:r>
      <w:r>
        <w:t xml:space="preserve">+</w:t>
      </w:r>
      <w:r>
        <w:t xml:space="preserve"> </w:t>
      </w:r>
      <w:r>
        <w:rPr>
          <w:rStyle w:val="VerbatimChar"/>
        </w:rPr>
        <w:t xml:space="preserve">hipaa-contingency-planning.md</w:t>
      </w:r>
      <w:r>
        <w:t xml:space="preserve">)</w:t>
      </w:r>
    </w:p>
    <w:p>
      <w:pPr>
        <w:pStyle w:val="Compact"/>
        <w:numPr>
          <w:ilvl w:val="0"/>
          <w:numId w:val="1045"/>
        </w:numPr>
      </w:pPr>
      <w:r>
        <w:rPr>
          <w:rStyle w:val="VerbatimChar"/>
        </w:rPr>
        <w:t xml:space="preserve">incident-and-breach-response.md</w:t>
      </w:r>
      <w:r>
        <w:t xml:space="preserve"> </w:t>
      </w:r>
      <w:r>
        <w:t xml:space="preserve">(merges</w:t>
      </w:r>
      <w:r>
        <w:t xml:space="preserve"> </w:t>
      </w:r>
      <w:r>
        <w:rPr>
          <w:rStyle w:val="VerbatimChar"/>
        </w:rPr>
        <w:t xml:space="preserve">hipaa-security-incidents.md</w:t>
      </w:r>
      <w:r>
        <w:t xml:space="preserve"> </w:t>
      </w:r>
      <w:r>
        <w:t xml:space="preserve">+</w:t>
      </w:r>
      <w:r>
        <w:t xml:space="preserve"> </w:t>
      </w:r>
      <w:r>
        <w:rPr>
          <w:rStyle w:val="VerbatimChar"/>
        </w:rPr>
        <w:t xml:space="preserve">hipaa-breach-notification.md</w:t>
      </w:r>
      <w:r>
        <w:t xml:space="preserve"> </w:t>
      </w:r>
      <w:r>
        <w:t xml:space="preserve">with all 4 exhibits)</w:t>
      </w:r>
    </w:p>
    <w:p>
      <w:pPr>
        <w:pStyle w:val="Compact"/>
        <w:numPr>
          <w:ilvl w:val="0"/>
          <w:numId w:val="1045"/>
        </w:numPr>
      </w:pPr>
      <w:r>
        <w:rPr>
          <w:rStyle w:val="VerbatimChar"/>
        </w:rPr>
        <w:t xml:space="preserve">vendor-and-business-associates.md</w:t>
      </w:r>
      <w:r>
        <w:t xml:space="preserve"> </w:t>
      </w:r>
      <w:r>
        <w:t xml:space="preserve">(if kept separate per §3.7)</w:t>
      </w:r>
    </w:p>
    <w:p>
      <w:pPr>
        <w:pStyle w:val="FirstParagraph"/>
      </w:pPr>
      <w:r>
        <w:t xml:space="preserve">In each new file, include a one-line</w:t>
      </w:r>
      <w:r>
        <w:t xml:space="preserve"> </w:t>
      </w:r>
      <w:r>
        <w:t xml:space="preserve">“Supersedes”</w:t>
      </w:r>
      <w:r>
        <w:t xml:space="preserve"> </w:t>
      </w:r>
      <w:r>
        <w:t xml:space="preserve">note in the frontmatter listing the old Policy # numbers it absorbs — auditors who arrive expecting</w:t>
      </w:r>
      <w:r>
        <w:t xml:space="preserve"> </w:t>
      </w:r>
      <w:r>
        <w:t xml:space="preserve">“L-006 Marketing Policy”</w:t>
      </w:r>
      <w:r>
        <w:t xml:space="preserve"> </w:t>
      </w:r>
      <w:r>
        <w:t xml:space="preserve">can confirm it is now §7 of</w:t>
      </w:r>
      <w:r>
        <w:t xml:space="preserve"> </w:t>
      </w:r>
      <w:r>
        <w:rPr>
          <w:rStyle w:val="VerbatimChar"/>
        </w:rPr>
        <w:t xml:space="preserve">phi-use-and-disclosure.md</w:t>
      </w:r>
      <w:r>
        <w:t xml:space="preserve">.</w:t>
      </w:r>
    </w:p>
    <w:bookmarkEnd w:id="57"/>
    <w:bookmarkStart w:id="58" w:name="step-3-delete-the-old-single-topic-files"/>
    <w:p>
      <w:pPr>
        <w:pStyle w:val="Heading3"/>
      </w:pPr>
      <w:r>
        <w:t xml:space="preserve">Step 3 — Delete the old single-topic files</w:t>
      </w:r>
    </w:p>
    <w:p>
      <w:pPr>
        <w:pStyle w:val="FirstParagraph"/>
      </w:pPr>
      <w:r>
        <w:t xml:space="preserve">Once the 6 new files are merged, delete (don’t redirect — this is a git repo, history is preserved):</w:t>
      </w:r>
    </w:p>
    <w:p>
      <w:pPr>
        <w:pStyle w:val="Compact"/>
        <w:numPr>
          <w:ilvl w:val="0"/>
          <w:numId w:val="1046"/>
        </w:numPr>
      </w:pPr>
      <w:r>
        <w:rPr>
          <w:rStyle w:val="VerbatimChar"/>
        </w:rPr>
        <w:t xml:space="preserve">hipaa-accounting-of-disclosures.md</w:t>
      </w:r>
    </w:p>
    <w:p>
      <w:pPr>
        <w:pStyle w:val="Compact"/>
        <w:numPr>
          <w:ilvl w:val="0"/>
          <w:numId w:val="1046"/>
        </w:numPr>
      </w:pPr>
      <w:r>
        <w:rPr>
          <w:rStyle w:val="VerbatimChar"/>
        </w:rPr>
        <w:t xml:space="preserve">hipaa-breach-notification.md</w:t>
      </w:r>
    </w:p>
    <w:p>
      <w:pPr>
        <w:pStyle w:val="Compact"/>
        <w:numPr>
          <w:ilvl w:val="0"/>
          <w:numId w:val="1046"/>
        </w:numPr>
      </w:pPr>
      <w:r>
        <w:rPr>
          <w:rStyle w:val="VerbatimChar"/>
        </w:rPr>
        <w:t xml:space="preserve">hipaa-business-associate-agreement.md</w:t>
      </w:r>
      <w:r>
        <w:t xml:space="preserve"> </w:t>
      </w:r>
      <w:r>
        <w:t xml:space="preserve">(if folded into Governance)</w:t>
      </w:r>
    </w:p>
    <w:p>
      <w:pPr>
        <w:pStyle w:val="Compact"/>
        <w:numPr>
          <w:ilvl w:val="0"/>
          <w:numId w:val="1046"/>
        </w:numPr>
      </w:pPr>
      <w:r>
        <w:rPr>
          <w:rStyle w:val="VerbatimChar"/>
        </w:rPr>
        <w:t xml:space="preserve">hipaa-contingency-planning.md</w:t>
      </w:r>
    </w:p>
    <w:p>
      <w:pPr>
        <w:pStyle w:val="Compact"/>
        <w:numPr>
          <w:ilvl w:val="0"/>
          <w:numId w:val="1046"/>
        </w:numPr>
      </w:pPr>
      <w:r>
        <w:rPr>
          <w:rStyle w:val="VerbatimChar"/>
        </w:rPr>
        <w:t xml:space="preserve">hipaa-de-identifying-phi.md</w:t>
      </w:r>
    </w:p>
    <w:p>
      <w:pPr>
        <w:pStyle w:val="Compact"/>
        <w:numPr>
          <w:ilvl w:val="0"/>
          <w:numId w:val="1046"/>
        </w:numPr>
      </w:pPr>
      <w:r>
        <w:rPr>
          <w:rStyle w:val="VerbatimChar"/>
        </w:rPr>
        <w:t xml:space="preserve">hipaa-encryption.md</w:t>
      </w:r>
    </w:p>
    <w:p>
      <w:pPr>
        <w:pStyle w:val="Compact"/>
        <w:numPr>
          <w:ilvl w:val="0"/>
          <w:numId w:val="1046"/>
        </w:numPr>
      </w:pPr>
      <w:r>
        <w:rPr>
          <w:rStyle w:val="VerbatimChar"/>
        </w:rPr>
        <w:t xml:space="preserve">hipaa-marketing.md</w:t>
      </w:r>
    </w:p>
    <w:p>
      <w:pPr>
        <w:pStyle w:val="Compact"/>
        <w:numPr>
          <w:ilvl w:val="0"/>
          <w:numId w:val="1046"/>
        </w:numPr>
      </w:pPr>
      <w:r>
        <w:rPr>
          <w:rStyle w:val="VerbatimChar"/>
        </w:rPr>
        <w:t xml:space="preserve">hipaa-minimum-necessary.md</w:t>
      </w:r>
    </w:p>
    <w:p>
      <w:pPr>
        <w:pStyle w:val="Compact"/>
        <w:numPr>
          <w:ilvl w:val="0"/>
          <w:numId w:val="1046"/>
        </w:numPr>
      </w:pPr>
      <w:r>
        <w:rPr>
          <w:rStyle w:val="VerbatimChar"/>
        </w:rPr>
        <w:t xml:space="preserve">hipaa-paper-documents.md</w:t>
      </w:r>
    </w:p>
    <w:p>
      <w:pPr>
        <w:pStyle w:val="Compact"/>
        <w:numPr>
          <w:ilvl w:val="0"/>
          <w:numId w:val="1046"/>
        </w:numPr>
      </w:pPr>
      <w:r>
        <w:rPr>
          <w:rStyle w:val="VerbatimChar"/>
        </w:rPr>
        <w:t xml:space="preserve">hipaa-passwords.md</w:t>
      </w:r>
    </w:p>
    <w:p>
      <w:pPr>
        <w:pStyle w:val="Compact"/>
        <w:numPr>
          <w:ilvl w:val="0"/>
          <w:numId w:val="1046"/>
        </w:numPr>
      </w:pPr>
      <w:r>
        <w:rPr>
          <w:rStyle w:val="VerbatimChar"/>
        </w:rPr>
        <w:t xml:space="preserve">hipaa-phi-use-and-disclosure.md</w:t>
      </w:r>
    </w:p>
    <w:p>
      <w:pPr>
        <w:pStyle w:val="Compact"/>
        <w:numPr>
          <w:ilvl w:val="0"/>
          <w:numId w:val="1046"/>
        </w:numPr>
      </w:pPr>
      <w:r>
        <w:rPr>
          <w:rStyle w:val="VerbatimChar"/>
        </w:rPr>
        <w:t xml:space="preserve">hipaa-remote-access.md</w:t>
      </w:r>
    </w:p>
    <w:p>
      <w:pPr>
        <w:pStyle w:val="Compact"/>
        <w:numPr>
          <w:ilvl w:val="0"/>
          <w:numId w:val="1046"/>
        </w:numPr>
      </w:pPr>
      <w:r>
        <w:rPr>
          <w:rStyle w:val="VerbatimChar"/>
        </w:rPr>
        <w:t xml:space="preserve">hipaa-right-to-access.md</w:t>
      </w:r>
    </w:p>
    <w:p>
      <w:pPr>
        <w:pStyle w:val="Compact"/>
        <w:numPr>
          <w:ilvl w:val="0"/>
          <w:numId w:val="1046"/>
        </w:numPr>
      </w:pPr>
      <w:r>
        <w:rPr>
          <w:rStyle w:val="VerbatimChar"/>
        </w:rPr>
        <w:t xml:space="preserve">hipaa-right-to-amend.md</w:t>
      </w:r>
    </w:p>
    <w:p>
      <w:pPr>
        <w:pStyle w:val="Compact"/>
        <w:numPr>
          <w:ilvl w:val="0"/>
          <w:numId w:val="1046"/>
        </w:numPr>
      </w:pPr>
      <w:r>
        <w:rPr>
          <w:rStyle w:val="VerbatimChar"/>
        </w:rPr>
        <w:t xml:space="preserve">hipaa-risk-management.md</w:t>
      </w:r>
    </w:p>
    <w:p>
      <w:pPr>
        <w:pStyle w:val="Compact"/>
        <w:numPr>
          <w:ilvl w:val="0"/>
          <w:numId w:val="1046"/>
        </w:numPr>
      </w:pPr>
      <w:r>
        <w:rPr>
          <w:rStyle w:val="VerbatimChar"/>
        </w:rPr>
        <w:t xml:space="preserve">hipaa-safeguards.md</w:t>
      </w:r>
    </w:p>
    <w:p>
      <w:pPr>
        <w:pStyle w:val="Compact"/>
        <w:numPr>
          <w:ilvl w:val="0"/>
          <w:numId w:val="1046"/>
        </w:numPr>
      </w:pPr>
      <w:r>
        <w:rPr>
          <w:rStyle w:val="VerbatimChar"/>
        </w:rPr>
        <w:t xml:space="preserve">hipaa-security-incidents.md</w:t>
      </w:r>
    </w:p>
    <w:p>
      <w:pPr>
        <w:pStyle w:val="Compact"/>
        <w:numPr>
          <w:ilvl w:val="0"/>
          <w:numId w:val="1046"/>
        </w:numPr>
      </w:pPr>
      <w:r>
        <w:rPr>
          <w:rStyle w:val="VerbatimChar"/>
        </w:rPr>
        <w:t xml:space="preserve">hipaa-workstation-use.md</w:t>
      </w:r>
    </w:p>
    <w:p>
      <w:pPr>
        <w:pStyle w:val="Compact"/>
        <w:numPr>
          <w:ilvl w:val="0"/>
          <w:numId w:val="1046"/>
        </w:numPr>
      </w:pPr>
      <w:r>
        <w:rPr>
          <w:rStyle w:val="VerbatimChar"/>
        </w:rPr>
        <w:t xml:space="preserve">information-security-framework.md</w:t>
      </w:r>
    </w:p>
    <w:p>
      <w:pPr>
        <w:pStyle w:val="Compact"/>
        <w:numPr>
          <w:ilvl w:val="0"/>
          <w:numId w:val="1046"/>
        </w:numPr>
      </w:pPr>
      <w:r>
        <w:rPr>
          <w:rStyle w:val="VerbatimChar"/>
        </w:rPr>
        <w:t xml:space="preserve">privacy-policy.md</w:t>
      </w:r>
      <w:r>
        <w:t xml:space="preserve"> </w:t>
      </w:r>
      <w:r>
        <w:t xml:space="preserve">(after Device &amp; Media rescue)</w:t>
      </w:r>
    </w:p>
    <w:p>
      <w:pPr>
        <w:pStyle w:val="FirstParagraph"/>
      </w:pPr>
      <w:r>
        <w:t xml:space="preserve">Keep:</w:t>
      </w:r>
      <w:r>
        <w:t xml:space="preserve"> </w:t>
      </w:r>
      <w:r>
        <w:t xml:space="preserve">-</w:t>
      </w:r>
      <w:r>
        <w:t xml:space="preserve"> </w:t>
      </w:r>
      <w:r>
        <w:rPr>
          <w:rStyle w:val="VerbatimChar"/>
        </w:rPr>
        <w:t xml:space="preserve">sdlc-and-asset-lifecycle.md</w:t>
      </w:r>
      <w:r>
        <w:t xml:space="preserve"> </w:t>
      </w:r>
      <w:r>
        <w:t xml:space="preserve">-</w:t>
      </w:r>
      <w:r>
        <w:t xml:space="preserve"> </w:t>
      </w:r>
      <w:r>
        <w:rPr>
          <w:rStyle w:val="VerbatimChar"/>
        </w:rPr>
        <w:t xml:space="preserve">platform-and-access-matrix.md</w:t>
      </w:r>
      <w:r>
        <w:t xml:space="preserve"> </w:t>
      </w:r>
      <w:r>
        <w:t xml:space="preserve">-</w:t>
      </w:r>
      <w:r>
        <w:t xml:space="preserve"> </w:t>
      </w:r>
      <w:r>
        <w:rPr>
          <w:rStyle w:val="VerbatimChar"/>
        </w:rPr>
        <w:t xml:space="preserve">ech-security-assessment.md</w:t>
      </w:r>
      <w:r>
        <w:t xml:space="preserve"> </w:t>
      </w:r>
      <w:r>
        <w:t xml:space="preserve">-</w:t>
      </w:r>
      <w:r>
        <w:t xml:space="preserve"> </w:t>
      </w:r>
      <w:r>
        <w:rPr>
          <w:rStyle w:val="VerbatimChar"/>
        </w:rPr>
        <w:t xml:space="preserve">hipaa-definitions.md</w:t>
      </w:r>
    </w:p>
    <w:p>
      <w:pPr>
        <w:pStyle w:val="BodyText"/>
      </w:pPr>
      <w:r>
        <w:t xml:space="preserve">Final count:</w:t>
      </w:r>
      <w:r>
        <w:t xml:space="preserve"> </w:t>
      </w:r>
      <w:r>
        <w:rPr>
          <w:b/>
          <w:bCs/>
        </w:rPr>
        <w:t xml:space="preserve">4 unchanged + 6 new + 0 leftover = 10 files</w:t>
      </w:r>
      <w:r>
        <w:t xml:space="preserve"> </w:t>
      </w:r>
      <w:r>
        <w:t xml:space="preserve">(or 9 if BAA is folded into Governance).</w:t>
      </w:r>
    </w:p>
    <w:bookmarkEnd w:id="58"/>
    <w:bookmarkStart w:id="60" w:name="step-4-update-readme.md"/>
    <w:p>
      <w:pPr>
        <w:pStyle w:val="Heading3"/>
      </w:pPr>
      <w:r>
        <w:t xml:space="preserve">Step 4 — Update</w:t>
      </w:r>
      <w:r>
        <w:t xml:space="preserve"> </w:t>
      </w:r>
      <w:hyperlink r:id="rId59">
        <w:r>
          <w:rPr>
            <w:rStyle w:val="Hyperlink"/>
          </w:rPr>
          <w:t xml:space="preserve">README.md</w:t>
        </w:r>
      </w:hyperlink>
    </w:p>
    <w:p>
      <w:pPr>
        <w:pStyle w:val="FirstParagraph"/>
      </w:pPr>
      <w:r>
        <w:t xml:space="preserve">In a single commit alongside Step 3:</w:t>
      </w:r>
    </w:p>
    <w:p>
      <w:pPr>
        <w:pStyle w:val="Compact"/>
        <w:numPr>
          <w:ilvl w:val="0"/>
          <w:numId w:val="1047"/>
        </w:numPr>
      </w:pPr>
      <w:r>
        <w:rPr>
          <w:b/>
          <w:bCs/>
        </w:rPr>
        <w:t xml:space="preserve">§1 Policy Index</w:t>
      </w:r>
      <w:r>
        <w:t xml:space="preserve"> </w:t>
      </w:r>
      <w:r>
        <w:t xml:space="preserve">— rewrite the table. 24 rows → 9 rows. Add a</w:t>
      </w:r>
      <w:r>
        <w:t xml:space="preserve"> </w:t>
      </w:r>
      <w:r>
        <w:t xml:space="preserve">“Supersedes”</w:t>
      </w:r>
      <w:r>
        <w:t xml:space="preserve"> </w:t>
      </w:r>
      <w:r>
        <w:t xml:space="preserve">column for the first migration cycle so anyone with bookmarks can find what they’re looking for; remove the column after a quarter.</w:t>
      </w:r>
    </w:p>
    <w:p>
      <w:pPr>
        <w:pStyle w:val="Compact"/>
        <w:numPr>
          <w:ilvl w:val="0"/>
          <w:numId w:val="1047"/>
        </w:numPr>
      </w:pPr>
      <w:r>
        <w:rPr>
          <w:b/>
          <w:bCs/>
        </w:rPr>
        <w:t xml:space="preserve">§2 Compliance Calendar</w:t>
      </w:r>
      <w:r>
        <w:t xml:space="preserve"> </w:t>
      </w:r>
      <w:r>
        <w:t xml:space="preserve">— update every</w:t>
      </w:r>
      <w:r>
        <w:t xml:space="preserve"> </w:t>
      </w:r>
      <w:r>
        <w:t xml:space="preserve">“Source”</w:t>
      </w:r>
      <w:r>
        <w:t xml:space="preserve"> </w:t>
      </w:r>
      <w:r>
        <w:t xml:space="preserve">link to point to the new file. Most rows currently point to deprecated files.</w:t>
      </w:r>
    </w:p>
    <w:p>
      <w:pPr>
        <w:pStyle w:val="Compact"/>
        <w:numPr>
          <w:ilvl w:val="0"/>
          <w:numId w:val="1047"/>
        </w:numPr>
      </w:pPr>
      <w:r>
        <w:rPr>
          <w:b/>
          <w:bCs/>
        </w:rPr>
        <w:t xml:space="preserve">§3 Responsibility Matrix</w:t>
      </w:r>
      <w:r>
        <w:t xml:space="preserve"> </w:t>
      </w:r>
      <w:r>
        <w:t xml:space="preserve">— collapse the rows. 25 → ~10 rows. Owners should not change.</w:t>
      </w:r>
    </w:p>
    <w:p>
      <w:pPr>
        <w:pStyle w:val="Compact"/>
        <w:numPr>
          <w:ilvl w:val="0"/>
          <w:numId w:val="1047"/>
        </w:numPr>
      </w:pPr>
      <w:r>
        <w:rPr>
          <w:b/>
          <w:bCs/>
        </w:rPr>
        <w:t xml:space="preserve">Add to</w:t>
      </w:r>
      <w:r>
        <w:rPr>
          <w:b/>
          <w:bCs/>
        </w:rPr>
        <w:t xml:space="preserve"> </w:t>
      </w:r>
      <w:r>
        <w:rPr>
          <w:b/>
          <w:bCs/>
        </w:rPr>
        <w:t xml:space="preserve">“Notes on the migration”</w:t>
      </w:r>
      <w:r>
        <w:t xml:space="preserve"> </w:t>
      </w:r>
      <w:r>
        <w:t xml:space="preserve">a paragraph documenting the consolidation and pointing readers to this proposal document as the migration record.</w:t>
      </w:r>
    </w:p>
    <w:bookmarkEnd w:id="60"/>
    <w:bookmarkStart w:id="61" w:name="Xb7b26c890f86ae1f0697c4b59ada7c56deb553e"/>
    <w:p>
      <w:pPr>
        <w:pStyle w:val="Heading3"/>
      </w:pPr>
      <w:r>
        <w:t xml:space="preserve">Step 5 — Address dangling cross-references (separate task)</w:t>
      </w:r>
    </w:p>
    <w:p>
      <w:pPr>
        <w:pStyle w:val="FirstParagraph"/>
      </w:pPr>
      <w:r>
        <w:t xml:space="preserve">These are real holes that consolidation surfaces but does not fix — list them in a follow-up issue:</w:t>
      </w:r>
    </w:p>
    <w:p>
      <w:pPr>
        <w:pStyle w:val="Compact"/>
        <w:numPr>
          <w:ilvl w:val="0"/>
          <w:numId w:val="1048"/>
        </w:numPr>
      </w:pPr>
      <w:r>
        <w:t xml:space="preserve">“Company Internal Investigations &amp; Corrective Action Policy”</w:t>
      </w:r>
      <w:r>
        <w:t xml:space="preserve"> </w:t>
      </w:r>
      <w:r>
        <w:t xml:space="preserve">(referenced in breach notification) — does not exist.</w:t>
      </w:r>
    </w:p>
    <w:p>
      <w:pPr>
        <w:pStyle w:val="Compact"/>
        <w:numPr>
          <w:ilvl w:val="0"/>
          <w:numId w:val="1048"/>
        </w:numPr>
      </w:pPr>
      <w:r>
        <w:t xml:space="preserve">“Information Blocking Compliance Policy”</w:t>
      </w:r>
      <w:r>
        <w:t xml:space="preserve"> </w:t>
      </w:r>
      <w:r>
        <w:t xml:space="preserve">(referenced in right-to-access) — does not exist. Decision: inline the EHI definition in</w:t>
      </w:r>
      <w:r>
        <w:t xml:space="preserve"> </w:t>
      </w:r>
      <w:r>
        <w:rPr>
          <w:rStyle w:val="VerbatimChar"/>
        </w:rPr>
        <w:t xml:space="preserve">patient-rights.md</w:t>
      </w:r>
      <w:r>
        <w:t xml:space="preserve"> </w:t>
      </w:r>
      <w:r>
        <w:t xml:space="preserve">§2 and drop the cross-reference.</w:t>
      </w:r>
    </w:p>
    <w:p>
      <w:pPr>
        <w:pStyle w:val="Compact"/>
        <w:numPr>
          <w:ilvl w:val="0"/>
          <w:numId w:val="1048"/>
        </w:numPr>
      </w:pPr>
      <w:r>
        <w:t xml:space="preserve">“Company Device Management and Media Management/Inventory Policy”</w:t>
      </w:r>
      <w:r>
        <w:t xml:space="preserve"> </w:t>
      </w:r>
      <w:r>
        <w:t xml:space="preserve">(referenced in remote-access and safeguards) — resolved by the IT-004 rescue in Step 0.</w:t>
      </w:r>
    </w:p>
    <w:p>
      <w:pPr>
        <w:pStyle w:val="Compact"/>
        <w:numPr>
          <w:ilvl w:val="0"/>
          <w:numId w:val="1048"/>
        </w:numPr>
      </w:pPr>
      <w:r>
        <w:t xml:space="preserve">Patient-facing Notice of Privacy Practices — does not exist. Decision: TODO in README.</w:t>
      </w:r>
    </w:p>
    <w:bookmarkEnd w:id="61"/>
    <w:bookmarkStart w:id="62" w:name="X5c99b4801e7dfd9656ed863568a5def2060ebb0"/>
    <w:p>
      <w:pPr>
        <w:pStyle w:val="Heading3"/>
      </w:pPr>
      <w:r>
        <w:t xml:space="preserve">Step 6 — Janitorial (lowest-priority, optional)</w:t>
      </w:r>
    </w:p>
    <w:p>
      <w:pPr>
        <w:pStyle w:val="Compact"/>
        <w:numPr>
          <w:ilvl w:val="0"/>
          <w:numId w:val="1049"/>
        </w:numPr>
      </w:pPr>
      <w:r>
        <w:t xml:space="preserve">Fix the missing-space typo</w:t>
      </w:r>
      <w:r>
        <w:t xml:space="preserve"> </w:t>
      </w:r>
      <w:r>
        <w:t xml:space="preserve">“Companypersonnel”</w:t>
      </w:r>
      <w:r>
        <w:t xml:space="preserve"> </w:t>
      </w:r>
      <w:r>
        <w:t xml:space="preserve">→</w:t>
      </w:r>
      <w:r>
        <w:t xml:space="preserve"> </w:t>
      </w:r>
      <w:r>
        <w:t xml:space="preserve">“Company personnel”</w:t>
      </w:r>
      <w:r>
        <w:t xml:space="preserve"> </w:t>
      </w:r>
      <w:r>
        <w:t xml:space="preserve">throughout (sed pass).</w:t>
      </w:r>
    </w:p>
    <w:p>
      <w:pPr>
        <w:pStyle w:val="Compact"/>
        <w:numPr>
          <w:ilvl w:val="0"/>
          <w:numId w:val="1049"/>
        </w:numPr>
      </w:pPr>
      <w:r>
        <w:t xml:space="preserve">Strip the redundant markdown metadata table from every file’s header; move the metadata into YAML frontmatter (see §5d).</w:t>
      </w:r>
    </w:p>
    <w:p>
      <w:pPr>
        <w:pStyle w:val="Compact"/>
        <w:numPr>
          <w:ilvl w:val="0"/>
          <w:numId w:val="1049"/>
        </w:numPr>
      </w:pPr>
      <w:r>
        <w:t xml:space="preserve">Strip the</w:t>
      </w:r>
      <w:r>
        <w:t xml:space="preserve"> </w:t>
      </w:r>
      <w:r>
        <w:rPr>
          <w:rStyle w:val="VerbatimChar"/>
        </w:rPr>
        <w:t xml:space="preserve">400989...1</w:t>
      </w:r>
      <w:r>
        <w:t xml:space="preserve"> </w:t>
      </w:r>
      <w:r>
        <w:t xml:space="preserve">page-number artifacts and</w:t>
      </w:r>
      <w:r>
        <w:t xml:space="preserve"> </w:t>
      </w:r>
      <w:r>
        <w:rPr>
          <w:rStyle w:val="VerbatimChar"/>
        </w:rPr>
        <w:t xml:space="preserve">![](data:image/png;base64...)</w:t>
      </w:r>
      <w:r>
        <w:t xml:space="preserve"> </w:t>
      </w:r>
      <w:r>
        <w:t xml:space="preserve">image placeholders from the (now-deleted)</w:t>
      </w:r>
      <w:r>
        <w:t xml:space="preserve"> </w:t>
      </w:r>
      <w:r>
        <w:rPr>
          <w:rStyle w:val="VerbatimChar"/>
        </w:rPr>
        <w:t xml:space="preserve">privacy-policy.md</w:t>
      </w:r>
      <w:r>
        <w:t xml:space="preserve"> </w:t>
      </w:r>
      <w:r>
        <w:t xml:space="preserve">and from any retained files.</w:t>
      </w:r>
    </w:p>
    <w:p>
      <w:r>
        <w:pict>
          <v:rect style="width:0;height:1.5pt" o:hralign="center" o:hrstd="t" o:hr="t"/>
        </w:pict>
      </w:r>
    </w:p>
    <w:bookmarkEnd w:id="62"/>
    <w:bookmarkEnd w:id="63"/>
    <w:bookmarkStart w:id="64" w:name="appendix-quick-reference-24-9-mapping"/>
    <w:p>
      <w:pPr>
        <w:pStyle w:val="Heading2"/>
      </w:pPr>
      <w:r>
        <w:t xml:space="preserve">Appendix — Quick reference: 24 → 9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Old file</w:t>
            </w:r>
          </w:p>
        </w:tc>
        <w:tc>
          <w:tcPr/>
          <w:p>
            <w:pPr>
              <w:pStyle w:val="Compact"/>
            </w:pPr>
            <w:r>
              <w:t xml:space="preserve">New home</w:t>
            </w:r>
          </w:p>
        </w:tc>
      </w:tr>
      <w:tr>
        <w:tc>
          <w:tcPr/>
          <w:p>
            <w:pPr>
              <w:pStyle w:val="Compact"/>
            </w:pPr>
            <w:r>
              <w:t xml:space="preserve">hipaa-accounting-of-disclosures.md</w:t>
            </w:r>
          </w:p>
        </w:tc>
        <w:tc>
          <w:tcPr/>
          <w:p>
            <w:pPr>
              <w:pStyle w:val="Compact"/>
            </w:pPr>
            <w:r>
              <w:t xml:space="preserve">patient-rights.md §4</w:t>
            </w:r>
          </w:p>
        </w:tc>
      </w:tr>
      <w:tr>
        <w:tc>
          <w:tcPr/>
          <w:p>
            <w:pPr>
              <w:pStyle w:val="Compact"/>
            </w:pPr>
            <w:r>
              <w:t xml:space="preserve">hipaa-breach-notification.md</w:t>
            </w:r>
          </w:p>
        </w:tc>
        <w:tc>
          <w:tcPr/>
          <w:p>
            <w:pPr>
              <w:pStyle w:val="Compact"/>
            </w:pPr>
            <w:r>
              <w:t xml:space="preserve">incident-and-breach-response.md §§6–11</w:t>
            </w:r>
          </w:p>
        </w:tc>
      </w:tr>
      <w:tr>
        <w:tc>
          <w:tcPr/>
          <w:p>
            <w:pPr>
              <w:pStyle w:val="Compact"/>
            </w:pPr>
            <w:r>
              <w:t xml:space="preserve">hipaa-business-associate-agreement.md</w:t>
            </w:r>
          </w:p>
        </w:tc>
        <w:tc>
          <w:tcPr/>
          <w:p>
            <w:pPr>
              <w:pStyle w:val="Compact"/>
            </w:pPr>
            <w:r>
              <w:t xml:space="preserve">vendor-and-business-associates.md (or governance §X)</w:t>
            </w:r>
          </w:p>
        </w:tc>
      </w:tr>
      <w:tr>
        <w:tc>
          <w:tcPr/>
          <w:p>
            <w:pPr>
              <w:pStyle w:val="Compact"/>
            </w:pPr>
            <w:r>
              <w:t xml:space="preserve">hipaa-contingency-planning.md</w:t>
            </w:r>
          </w:p>
        </w:tc>
        <w:tc>
          <w:tcPr/>
          <w:p>
            <w:pPr>
              <w:pStyle w:val="Compact"/>
            </w:pPr>
            <w:r>
              <w:t xml:space="preserve">operational-safeguards.md §5</w:t>
            </w:r>
          </w:p>
        </w:tc>
      </w:tr>
      <w:tr>
        <w:tc>
          <w:tcPr/>
          <w:p>
            <w:pPr>
              <w:pStyle w:val="Compact"/>
            </w:pPr>
            <w:r>
              <w:t xml:space="preserve">hipaa-de-identifying-phi.md</w:t>
            </w:r>
          </w:p>
        </w:tc>
        <w:tc>
          <w:tcPr/>
          <w:p>
            <w:pPr>
              <w:pStyle w:val="Compact"/>
            </w:pPr>
            <w:r>
              <w:t xml:space="preserve">phi-use-and-disclosure.md §§4–6</w:t>
            </w:r>
          </w:p>
        </w:tc>
      </w:tr>
      <w:tr>
        <w:tc>
          <w:tcPr/>
          <w:p>
            <w:pPr>
              <w:pStyle w:val="Compact"/>
            </w:pPr>
            <w:r>
              <w:t xml:space="preserve">hipaa-definitions.md</w:t>
            </w:r>
          </w:p>
        </w:tc>
        <w:tc>
          <w:tcPr/>
          <w:p>
            <w:pPr>
              <w:pStyle w:val="Compact"/>
            </w:pPr>
            <w:r>
              <w:t xml:space="preserve">unchanged (expanded per §4)</w:t>
            </w:r>
          </w:p>
        </w:tc>
      </w:tr>
      <w:tr>
        <w:tc>
          <w:tcPr/>
          <w:p>
            <w:pPr>
              <w:pStyle w:val="Compact"/>
            </w:pPr>
            <w:r>
              <w:t xml:space="preserve">hipaa-encryption.md</w:t>
            </w:r>
          </w:p>
        </w:tc>
        <w:tc>
          <w:tcPr/>
          <w:p>
            <w:pPr>
              <w:pStyle w:val="Compact"/>
            </w:pPr>
            <w:r>
              <w:t xml:space="preserve">technical-safeguards.md §3</w:t>
            </w:r>
          </w:p>
        </w:tc>
      </w:tr>
      <w:tr>
        <w:tc>
          <w:tcPr/>
          <w:p>
            <w:pPr>
              <w:pStyle w:val="Compact"/>
            </w:pPr>
            <w:r>
              <w:t xml:space="preserve">hipaa-marketing.md</w:t>
            </w:r>
          </w:p>
        </w:tc>
        <w:tc>
          <w:tcPr/>
          <w:p>
            <w:pPr>
              <w:pStyle w:val="Compact"/>
            </w:pPr>
            <w:r>
              <w:t xml:space="preserve">phi-use-and-disclosure.md §7</w:t>
            </w:r>
          </w:p>
        </w:tc>
      </w:tr>
      <w:tr>
        <w:tc>
          <w:tcPr/>
          <w:p>
            <w:pPr>
              <w:pStyle w:val="Compact"/>
            </w:pPr>
            <w:r>
              <w:t xml:space="preserve">hipaa-minimum-necessary.md</w:t>
            </w:r>
          </w:p>
        </w:tc>
        <w:tc>
          <w:tcPr/>
          <w:p>
            <w:pPr>
              <w:pStyle w:val="Compact"/>
            </w:pPr>
            <w:r>
              <w:t xml:space="preserve">phi-use-and-disclosure.md §2</w:t>
            </w:r>
          </w:p>
        </w:tc>
      </w:tr>
      <w:tr>
        <w:tc>
          <w:tcPr/>
          <w:p>
            <w:pPr>
              <w:pStyle w:val="Compact"/>
            </w:pPr>
            <w:r>
              <w:t xml:space="preserve">hipaa-paper-documents.md</w:t>
            </w:r>
          </w:p>
        </w:tc>
        <w:tc>
          <w:tcPr/>
          <w:p>
            <w:pPr>
              <w:pStyle w:val="Compact"/>
            </w:pPr>
            <w:r>
              <w:t xml:space="preserve">operational-safeguards.md §4</w:t>
            </w:r>
          </w:p>
        </w:tc>
      </w:tr>
      <w:tr>
        <w:tc>
          <w:tcPr/>
          <w:p>
            <w:pPr>
              <w:pStyle w:val="Compact"/>
            </w:pPr>
            <w:r>
              <w:t xml:space="preserve">hipaa-passwords.md</w:t>
            </w:r>
          </w:p>
        </w:tc>
        <w:tc>
          <w:tcPr/>
          <w:p>
            <w:pPr>
              <w:pStyle w:val="Compact"/>
            </w:pPr>
            <w:r>
              <w:t xml:space="preserve">technical-safeguards.md §2</w:t>
            </w:r>
          </w:p>
        </w:tc>
      </w:tr>
      <w:tr>
        <w:tc>
          <w:tcPr/>
          <w:p>
            <w:pPr>
              <w:pStyle w:val="Compact"/>
            </w:pPr>
            <w:r>
              <w:t xml:space="preserve">hipaa-phi-use-and-disclosure.md</w:t>
            </w:r>
          </w:p>
        </w:tc>
        <w:tc>
          <w:tcPr/>
          <w:p>
            <w:pPr>
              <w:pStyle w:val="Compact"/>
            </w:pPr>
            <w:r>
              <w:t xml:space="preserve">phi-use-and-disclosure.md §3</w:t>
            </w:r>
          </w:p>
        </w:tc>
      </w:tr>
      <w:tr>
        <w:tc>
          <w:tcPr/>
          <w:p>
            <w:pPr>
              <w:pStyle w:val="Compact"/>
            </w:pPr>
            <w:r>
              <w:t xml:space="preserve">hipaa-remote-access.md</w:t>
            </w:r>
          </w:p>
        </w:tc>
        <w:tc>
          <w:tcPr/>
          <w:p>
            <w:pPr>
              <w:pStyle w:val="Compact"/>
            </w:pPr>
            <w:r>
              <w:t xml:space="preserve">technical-safeguards.md §5</w:t>
            </w:r>
          </w:p>
        </w:tc>
      </w:tr>
      <w:tr>
        <w:tc>
          <w:tcPr/>
          <w:p>
            <w:pPr>
              <w:pStyle w:val="Compact"/>
            </w:pPr>
            <w:r>
              <w:t xml:space="preserve">hipaa-right-to-access.md</w:t>
            </w:r>
          </w:p>
        </w:tc>
        <w:tc>
          <w:tcPr/>
          <w:p>
            <w:pPr>
              <w:pStyle w:val="Compact"/>
            </w:pPr>
            <w:r>
              <w:t xml:space="preserve">patient-rights.md §2</w:t>
            </w:r>
          </w:p>
        </w:tc>
      </w:tr>
      <w:tr>
        <w:tc>
          <w:tcPr/>
          <w:p>
            <w:pPr>
              <w:pStyle w:val="Compact"/>
            </w:pPr>
            <w:r>
              <w:t xml:space="preserve">hipaa-right-to-amend.md</w:t>
            </w:r>
          </w:p>
        </w:tc>
        <w:tc>
          <w:tcPr/>
          <w:p>
            <w:pPr>
              <w:pStyle w:val="Compact"/>
            </w:pPr>
            <w:r>
              <w:t xml:space="preserve">patient-rights.md §3</w:t>
            </w:r>
          </w:p>
        </w:tc>
      </w:tr>
      <w:tr>
        <w:tc>
          <w:tcPr/>
          <w:p>
            <w:pPr>
              <w:pStyle w:val="Compact"/>
            </w:pPr>
            <w:r>
              <w:t xml:space="preserve">hipaa-risk-management.md</w:t>
            </w:r>
          </w:p>
        </w:tc>
        <w:tc>
          <w:tcPr/>
          <w:p>
            <w:pPr>
              <w:pStyle w:val="Compact"/>
            </w:pPr>
            <w:r>
              <w:t xml:space="preserve">governance-and-risk-management.md §§4–6</w:t>
            </w:r>
          </w:p>
        </w:tc>
      </w:tr>
      <w:tr>
        <w:tc>
          <w:tcPr/>
          <w:p>
            <w:pPr>
              <w:pStyle w:val="Compact"/>
            </w:pPr>
            <w:r>
              <w:t xml:space="preserve">hipaa-safeguards.md</w:t>
            </w:r>
          </w:p>
        </w:tc>
        <w:tc>
          <w:tcPr/>
          <w:p>
            <w:pPr>
              <w:pStyle w:val="Compact"/>
            </w:pPr>
            <w:r>
              <w:t xml:space="preserve">operational-safeguards.md §§2–3 (technical bits → technical-safeguards.md)</w:t>
            </w:r>
          </w:p>
        </w:tc>
      </w:tr>
      <w:tr>
        <w:tc>
          <w:tcPr/>
          <w:p>
            <w:pPr>
              <w:pStyle w:val="Compact"/>
            </w:pPr>
            <w:r>
              <w:t xml:space="preserve">hipaa-security-incidents.md</w:t>
            </w:r>
          </w:p>
        </w:tc>
        <w:tc>
          <w:tcPr/>
          <w:p>
            <w:pPr>
              <w:pStyle w:val="Compact"/>
            </w:pPr>
            <w:r>
              <w:t xml:space="preserve">incident-and-breach-response.md §§3–5 + §12</w:t>
            </w:r>
          </w:p>
        </w:tc>
      </w:tr>
      <w:tr>
        <w:tc>
          <w:tcPr/>
          <w:p>
            <w:pPr>
              <w:pStyle w:val="Compact"/>
            </w:pPr>
            <w:r>
              <w:t xml:space="preserve">hipaa-workstation-use.md</w:t>
            </w:r>
          </w:p>
        </w:tc>
        <w:tc>
          <w:tcPr/>
          <w:p>
            <w:pPr>
              <w:pStyle w:val="Compact"/>
            </w:pPr>
            <w:r>
              <w:t xml:space="preserve">technical-safeguards.md §4</w:t>
            </w:r>
          </w:p>
        </w:tc>
      </w:tr>
      <w:tr>
        <w:tc>
          <w:tcPr/>
          <w:p>
            <w:pPr>
              <w:pStyle w:val="Compact"/>
            </w:pPr>
            <w:r>
              <w:t xml:space="preserve">information-security-framework.md</w:t>
            </w:r>
          </w:p>
        </w:tc>
        <w:tc>
          <w:tcPr/>
          <w:p>
            <w:pPr>
              <w:pStyle w:val="Compact"/>
            </w:pPr>
            <w:r>
              <w:t xml:space="preserve">governance-and-risk-management.md §3 + vendor §X</w:t>
            </w:r>
          </w:p>
        </w:tc>
      </w:tr>
      <w:tr>
        <w:tc>
          <w:tcPr/>
          <w:p>
            <w:pPr>
              <w:pStyle w:val="Compact"/>
            </w:pPr>
            <w:r>
              <w:t xml:space="preserve">privacy-policy.md</w:t>
            </w:r>
          </w:p>
        </w:tc>
        <w:tc>
          <w:tcPr/>
          <w:p>
            <w:pPr>
              <w:pStyle w:val="Compact"/>
            </w:pPr>
            <w:r>
              <w:t xml:space="preserve">DELETE (after rescuing IT-004 Device &amp; Media to technical-safeguards.md §6); TODO for new NPP</w:t>
            </w:r>
          </w:p>
        </w:tc>
      </w:tr>
      <w:tr>
        <w:tc>
          <w:tcPr/>
          <w:p>
            <w:pPr>
              <w:pStyle w:val="Compact"/>
            </w:pPr>
            <w:r>
              <w:t xml:space="preserve">sdlc-and-asset-lifecycle.md</w:t>
            </w:r>
          </w:p>
        </w:tc>
        <w:tc>
          <w:tcPr/>
          <w:p>
            <w:pPr>
              <w:pStyle w:val="Compact"/>
            </w:pPr>
            <w:r>
              <w:t xml:space="preserve">unchanged</w:t>
            </w:r>
          </w:p>
        </w:tc>
      </w:tr>
      <w:tr>
        <w:tc>
          <w:tcPr/>
          <w:p>
            <w:pPr>
              <w:pStyle w:val="Compact"/>
            </w:pPr>
            <w:r>
              <w:t xml:space="preserve">platform-and-access-matrix.md</w:t>
            </w:r>
          </w:p>
        </w:tc>
        <w:tc>
          <w:tcPr/>
          <w:p>
            <w:pPr>
              <w:pStyle w:val="Compact"/>
            </w:pPr>
            <w:r>
              <w:t xml:space="preserve">unchanged</w:t>
            </w:r>
          </w:p>
        </w:tc>
      </w:tr>
      <w:tr>
        <w:tc>
          <w:tcPr/>
          <w:p>
            <w:pPr>
              <w:pStyle w:val="Compact"/>
            </w:pPr>
            <w:r>
              <w:t xml:space="preserve">ech-security-assessment.md</w:t>
            </w:r>
          </w:p>
        </w:tc>
        <w:tc>
          <w:tcPr/>
          <w:p>
            <w:pPr>
              <w:pStyle w:val="Compact"/>
            </w:pPr>
            <w:r>
              <w:t xml:space="preserve">unchanged</w:t>
            </w:r>
          </w:p>
        </w:tc>
      </w:tr>
    </w:tbl>
    <w:p>
      <w:r>
        <w:pict>
          <v:rect style="width:0;height:1.5pt" o:hralign="center" o:hrstd="t" o:hr="t"/>
        </w:pict>
      </w:r>
    </w:p>
    <w:bookmarkEnd w:id="64"/>
    <w:bookmarkStart w:id="70" w:name="X899e48fff247326dcf2cf8f11bc6ac6d8946cce"/>
    <w:p>
      <w:pPr>
        <w:pStyle w:val="Heading2"/>
      </w:pPr>
      <w:r>
        <w:t xml:space="preserve">§7 — Revisions based on ECH/SIG questionnaire mapping</w:t>
      </w:r>
    </w:p>
    <w:p>
      <w:pPr>
        <w:pStyle w:val="FirstParagraph"/>
      </w:pPr>
      <w:r>
        <w:t xml:space="preserve">Cross-reference:</w:t>
      </w:r>
      <w:r>
        <w:t xml:space="preserve"> </w:t>
      </w:r>
      <w:r>
        <w:rPr>
          <w:rStyle w:val="VerbatimChar"/>
        </w:rPr>
        <w:t xml:space="preserve">POLICY-VS-QUESTIONNAIRE-MAPPING.md</w:t>
      </w:r>
      <w:r>
        <w:t xml:space="preserve">. The 182-row ECH Security Assessment surfaces real-world auditor expectations that the existing 24 files only partially address. This section recommends adjustments to §3’s proposed structure.</w:t>
      </w:r>
    </w:p>
    <w:bookmarkStart w:id="65" w:name="proposed-structure-changes"/>
    <w:p>
      <w:pPr>
        <w:pStyle w:val="Heading3"/>
      </w:pPr>
      <w:r>
        <w:t xml:space="preserve">7.1 Proposed structure changes</w:t>
      </w:r>
    </w:p>
    <w:p>
      <w:pPr>
        <w:pStyle w:val="FirstParagraph"/>
      </w:pPr>
      <w:r>
        <w:t xml:space="preserve">The existing 10-file structure in §3 (governance, phi-use, patient-rights, technical-safeguards, operational-safeguards, incident-and-breach, vendor-and-BAs, sdlc-and-asset, two matrices)</w:t>
      </w:r>
      <w:r>
        <w:t xml:space="preserve"> </w:t>
      </w:r>
      <w:r>
        <w:rPr>
          <w:b/>
          <w:bCs/>
        </w:rPr>
        <w:t xml:space="preserve">still works as a baseline</w:t>
      </w:r>
      <w:r>
        <w:t xml:space="preserve"> </w:t>
      </w:r>
      <w:r>
        <w:t xml:space="preserve">for HIPAA compliance — but the ECH/SIG mapping exposes 5 topics that don’t fit cleanly into any proposed bucket. Recommendation:</w:t>
      </w:r>
      <w:r>
        <w:t xml:space="preserve"> </w:t>
      </w:r>
      <w:r>
        <w:rPr>
          <w:b/>
          <w:bCs/>
        </w:rPr>
        <w:t xml:space="preserve">add 2 new consolidated files and absorb the rest as sections in existing proposed files</w:t>
      </w:r>
      <w:r>
        <w:t xml:space="preserve">.</w:t>
      </w:r>
    </w:p>
    <w:p>
      <w:pPr>
        <w:pStyle w:val="BodyText"/>
      </w:pPr>
      <w:r>
        <w:rPr>
          <w:b/>
          <w:bCs/>
        </w:rPr>
        <w:t xml:space="preserve">Add as new standalone files:</w:t>
      </w:r>
    </w:p>
    <w:p>
      <w:pPr>
        <w:pStyle w:val="Compact"/>
        <w:numPr>
          <w:ilvl w:val="0"/>
          <w:numId w:val="1050"/>
        </w:numPr>
      </w:pPr>
      <w:r>
        <w:rPr>
          <w:rStyle w:val="VerbatimChar"/>
          <w:b/>
          <w:bCs/>
        </w:rPr>
        <w:t xml:space="preserve">acceptable-use-and-byod.md</w:t>
      </w:r>
      <w:r>
        <w:t xml:space="preserve"> </w:t>
      </w:r>
      <w:r>
        <w:t xml:space="preserve">(NEW). Rationale: SIG D.2 explicitly asks for a management-approved Acceptable Use Policy with an owner and review cadence — auditors look for it by name. The current</w:t>
      </w:r>
      <w:r>
        <w:t xml:space="preserve"> </w:t>
      </w:r>
      <w:r>
        <w:rPr>
          <w:rStyle w:val="VerbatimChar"/>
        </w:rPr>
        <w:t xml:space="preserve">hipaa-workstation-use.md</w:t>
      </w:r>
      <w:r>
        <w:t xml:space="preserve"> </w:t>
      </w:r>
      <w:r>
        <w:t xml:space="preserve">is workstation-only and doesn’t cover internet/email/social-media/personal-use. Combining AUP + BYOD/MDM in one document also resolves the</w:t>
      </w:r>
      <w:r>
        <w:t xml:space="preserve"> </w:t>
      </w:r>
      <w:r>
        <w:rPr>
          <w:b/>
          <w:bCs/>
        </w:rPr>
        <w:t xml:space="preserve">Critical</w:t>
      </w:r>
      <w:r>
        <w:t xml:space="preserve"> </w:t>
      </w:r>
      <w:r>
        <w:t xml:space="preserve">MDM/BYOD gaps (rows 132, 133, 134 of the CSV — all NO/YES + FOLLOW UP) without inflating</w:t>
      </w:r>
      <w:r>
        <w:t xml:space="preserve"> </w:t>
      </w:r>
      <w:r>
        <w:rPr>
          <w:rStyle w:val="VerbatimChar"/>
        </w:rPr>
        <w:t xml:space="preserve">technical-safeguards.md</w:t>
      </w:r>
      <w:r>
        <w:t xml:space="preserve">. Owner: Security Officer. Estimated size: 8–12 KB.</w:t>
      </w:r>
    </w:p>
    <w:p>
      <w:pPr>
        <w:pStyle w:val="Compact"/>
        <w:numPr>
          <w:ilvl w:val="1"/>
          <w:numId w:val="1051"/>
        </w:numPr>
      </w:pPr>
      <w:r>
        <w:t xml:space="preserve">Outline: Acceptable use (internet, email, social media, AI tools, personal use, prohibited activities) · BYOD eligibility &amp; registration · MDM enrollment requirements · Personal-vs-company-data separation · Lost/stolen device protocol · Offboarding wipe · Sanctions reference.</w:t>
      </w:r>
    </w:p>
    <w:p>
      <w:pPr>
        <w:pStyle w:val="Compact"/>
        <w:numPr>
          <w:ilvl w:val="1"/>
          <w:numId w:val="1051"/>
        </w:numPr>
      </w:pPr>
      <w:r>
        <w:rPr>
          <w:b/>
          <w:bCs/>
        </w:rPr>
        <w:t xml:space="preserve">Justifies splitting from</w:t>
      </w:r>
      <w:r>
        <w:rPr>
          <w:b/>
          <w:bCs/>
        </w:rPr>
        <w:t xml:space="preserve"> </w:t>
      </w:r>
      <w:r>
        <w:rPr>
          <w:rStyle w:val="VerbatimChar"/>
          <w:b/>
          <w:bCs/>
        </w:rPr>
        <w:t xml:space="preserve">technical-safeguards.md</w:t>
      </w:r>
      <w:r>
        <w:t xml:space="preserve"> </w:t>
      </w:r>
      <w:r>
        <w:t xml:space="preserve">because the AUP audience is</w:t>
      </w:r>
      <w:r>
        <w:t xml:space="preserve"> </w:t>
      </w:r>
      <w:r>
        <w:t xml:space="preserve">“every employee”</w:t>
      </w:r>
      <w:r>
        <w:t xml:space="preserve"> </w:t>
      </w:r>
      <w:r>
        <w:t xml:space="preserve">while technical-safeguards is</w:t>
      </w:r>
      <w:r>
        <w:t xml:space="preserve"> </w:t>
      </w:r>
      <w:r>
        <w:t xml:space="preserve">“the engineering team.”</w:t>
      </w:r>
    </w:p>
    <w:p>
      <w:pPr>
        <w:pStyle w:val="Compact"/>
        <w:numPr>
          <w:ilvl w:val="0"/>
          <w:numId w:val="1050"/>
        </w:numPr>
      </w:pPr>
      <w:r>
        <w:rPr>
          <w:rStyle w:val="VerbatimChar"/>
          <w:b/>
          <w:bCs/>
        </w:rPr>
        <w:t xml:space="preserve">network-and-cloud-security.md</w:t>
      </w:r>
      <w:r>
        <w:t xml:space="preserve"> </w:t>
      </w:r>
      <w:r>
        <w:t xml:space="preserve">(NEW). Rationale: SIG N.1–N.12 plus the entire AWS Questionnaire (rows 2–33) repeatedly ask for documented network security &amp; cloud configuration standards. Millie’s cloud-native posture means many controls are inherited from Aptible/AWS — but there’s no written policy that states this. A short document codifies the AWS Questionnaire answers and the AWS-specific incident response, and consolidates wireless (N.9) and network-baseline (N.11, N.12) into one place. Owner: Security Officer / CTO joint. Estimated size: 8–10 KB.</w:t>
      </w:r>
    </w:p>
    <w:p>
      <w:pPr>
        <w:pStyle w:val="Compact"/>
        <w:numPr>
          <w:ilvl w:val="1"/>
          <w:numId w:val="1052"/>
        </w:numPr>
      </w:pPr>
      <w:r>
        <w:t xml:space="preserve">Outline: Network architecture (Aptible/AWS/Cloudflare) · IAM/SSO standard · S3 public-access posture · Secrets management · Key rotation cadence · VPC/subnet design · Wireless policy (office WiFi, guest WiFi) · Network device patching · DMZ statement (cloud-native, N/A in traditional sense) · NIDS/NIPS (GuardDuty stance) · DR test cadence for cloud workloads · AWS-specific incident response procedures.</w:t>
      </w:r>
    </w:p>
    <w:p>
      <w:pPr>
        <w:pStyle w:val="FirstParagraph"/>
      </w:pPr>
      <w:r>
        <w:rPr>
          <w:b/>
          <w:bCs/>
        </w:rPr>
        <w:t xml:space="preserve">Do NOT split from existing proposed files</w:t>
      </w:r>
      <w:r>
        <w:t xml:space="preserve"> </w:t>
      </w:r>
      <w:r>
        <w:t xml:space="preserve">(the current proposed file still works, but content gets added):</w:t>
      </w:r>
      <w:r>
        <w:t xml:space="preserve"> </w:t>
      </w:r>
      <w:r>
        <w:t xml:space="preserve">- AI governance: a 2-page section inside</w:t>
      </w:r>
      <w:r>
        <w:t xml:space="preserve"> </w:t>
      </w:r>
      <w:r>
        <w:rPr>
          <w:rStyle w:val="VerbatimChar"/>
        </w:rPr>
        <w:t xml:space="preserve">acceptable-use-and-byod.md</w:t>
      </w:r>
      <w:r>
        <w:t xml:space="preserve"> </w:t>
      </w:r>
      <w:r>
        <w:t xml:space="preserve">is enough for now (covers SIG R.1/R.2/R.4/R.5). Splitting AI into its own file would be over-engineering at Millie’s scale.</w:t>
      </w:r>
      <w:r>
        <w:t xml:space="preserve"> </w:t>
      </w:r>
      <w:r>
        <w:t xml:space="preserve">- Records retention: section inside</w:t>
      </w:r>
      <w:r>
        <w:t xml:space="preserve"> </w:t>
      </w:r>
      <w:r>
        <w:rPr>
          <w:rStyle w:val="VerbatimChar"/>
        </w:rPr>
        <w:t xml:space="preserve">governance-and-risk-management.md</w:t>
      </w:r>
      <w:r>
        <w:t xml:space="preserve">. No need for a standalone retention policy.</w:t>
      </w:r>
      <w:r>
        <w:t xml:space="preserve"> </w:t>
      </w:r>
      <w:r>
        <w:t xml:space="preserve">- Change management: section inside</w:t>
      </w:r>
      <w:r>
        <w:t xml:space="preserve"> </w:t>
      </w:r>
      <w:r>
        <w:rPr>
          <w:rStyle w:val="VerbatimChar"/>
        </w:rPr>
        <w:t xml:space="preserve">sdlc-and-asset-lifecycle.md</w:t>
      </w:r>
      <w:r>
        <w:t xml:space="preserve"> </w:t>
      </w:r>
      <w:r>
        <w:t xml:space="preserve">(CTO-owned anyway).</w:t>
      </w:r>
      <w:r>
        <w:t xml:space="preserve"> </w:t>
      </w:r>
      <w:r>
        <w:t xml:space="preserve">- Pandemic plan: appendix to</w:t>
      </w:r>
      <w:r>
        <w:t xml:space="preserve"> </w:t>
      </w:r>
      <w:r>
        <w:rPr>
          <w:rStyle w:val="VerbatimChar"/>
        </w:rPr>
        <w:t xml:space="preserve">operational-safeguards.md</w:t>
      </w:r>
      <w:r>
        <w:t xml:space="preserve"> </w:t>
      </w:r>
      <w:r>
        <w:t xml:space="preserve">§5 Contingency Planning.</w:t>
      </w:r>
      <w:r>
        <w:t xml:space="preserve"> </w:t>
      </w:r>
      <w:r>
        <w:t xml:space="preserve">- C-SCRM: section inside</w:t>
      </w:r>
      <w:r>
        <w:t xml:space="preserve"> </w:t>
      </w:r>
      <w:r>
        <w:rPr>
          <w:rStyle w:val="VerbatimChar"/>
        </w:rPr>
        <w:t xml:space="preserve">vendor-and-business-associates.md</w:t>
      </w:r>
      <w:r>
        <w:t xml:space="preserve">.</w:t>
      </w:r>
      <w:r>
        <w:t xml:space="preserve"> </w:t>
      </w:r>
      <w:r>
        <w:t xml:space="preserve">- HR security / sanctions: section inside</w:t>
      </w:r>
      <w:r>
        <w:t xml:space="preserve"> </w:t>
      </w:r>
      <w:r>
        <w:rPr>
          <w:rStyle w:val="VerbatimChar"/>
        </w:rPr>
        <w:t xml:space="preserve">governance-and-risk-management.md</w:t>
      </w:r>
      <w:r>
        <w:t xml:space="preserve"> </w:t>
      </w:r>
      <w:r>
        <w:t xml:space="preserve">plus a single consolidated sanctions clause per CONSOLIDATION §5c.</w:t>
      </w:r>
      <w:r>
        <w:t xml:space="preserve"> </w:t>
      </w:r>
      <w:r>
        <w:t xml:space="preserve">- Pentest &amp; audit assurance: a half-page</w:t>
      </w:r>
      <w:r>
        <w:t xml:space="preserve"> </w:t>
      </w:r>
      <w:r>
        <w:t xml:space="preserve">“Assurance Program”</w:t>
      </w:r>
      <w:r>
        <w:t xml:space="preserve"> </w:t>
      </w:r>
      <w:r>
        <w:t xml:space="preserve">section inside</w:t>
      </w:r>
      <w:r>
        <w:t xml:space="preserve"> </w:t>
      </w:r>
      <w:r>
        <w:rPr>
          <w:rStyle w:val="VerbatimChar"/>
        </w:rPr>
        <w:t xml:space="preserve">governance-and-risk-management.md</w:t>
      </w:r>
      <w:r>
        <w:t xml:space="preserve"> </w:t>
      </w:r>
      <w:r>
        <w:t xml:space="preserve">plus an</w:t>
      </w:r>
      <w:r>
        <w:t xml:space="preserve"> </w:t>
      </w:r>
      <w:r>
        <w:rPr>
          <w:rStyle w:val="VerbatimChar"/>
        </w:rPr>
        <w:t xml:space="preserve">assurance/</w:t>
      </w:r>
      <w:r>
        <w:t xml:space="preserve"> </w:t>
      </w:r>
      <w:r>
        <w:t xml:space="preserve">folder for actual reports.</w:t>
      </w:r>
      <w:r>
        <w:t xml:space="preserve"> </w:t>
      </w:r>
      <w:r>
        <w:t xml:space="preserve">- Patient-facing NPP: still TBD per §3.10 (Scenario B).</w:t>
      </w:r>
    </w:p>
    <w:p>
      <w:pPr>
        <w:pStyle w:val="BodyText"/>
      </w:pPr>
      <w:r>
        <w:rPr>
          <w:b/>
          <w:bCs/>
        </w:rPr>
        <w:t xml:space="preserve">Revised final count: 12 files</w:t>
      </w:r>
      <w:r>
        <w:t xml:space="preserve"> </w:t>
      </w:r>
      <w:r>
        <w:t xml:space="preserve">(was 10):</w:t>
      </w:r>
      <w:r>
        <w:t xml:space="preserve"> </w:t>
      </w:r>
      <w:r>
        <w:t xml:space="preserve">- 7 thematic policies +</w:t>
      </w:r>
      <w:r>
        <w:t xml:space="preserve"> </w:t>
      </w:r>
      <w:r>
        <w:rPr>
          <w:rStyle w:val="VerbatimChar"/>
        </w:rPr>
        <w:t xml:space="preserve">sdlc-and-asset-lifecycle.md</w:t>
      </w:r>
      <w:r>
        <w:t xml:space="preserve"> </w:t>
      </w:r>
      <w:r>
        <w:t xml:space="preserve">+ 2 reference matrices + 1 glossary + 1 TODO NPP = 12.</w:t>
      </w:r>
      <w:r>
        <w:t xml:space="preserve"> </w:t>
      </w:r>
      <w:r>
        <w:t xml:space="preserve">- governance-and-risk-management.md</w:t>
      </w:r>
      <w:r>
        <w:t xml:space="preserve"> </w:t>
      </w:r>
      <w:r>
        <w:t xml:space="preserve">- phi-use-and-disclosure.md</w:t>
      </w:r>
      <w:r>
        <w:t xml:space="preserve"> </w:t>
      </w:r>
      <w:r>
        <w:t xml:space="preserve">- patient-rights.md</w:t>
      </w:r>
      <w:r>
        <w:t xml:space="preserve"> </w:t>
      </w:r>
      <w:r>
        <w:t xml:space="preserve">- technical-safeguards.md</w:t>
      </w:r>
      <w:r>
        <w:t xml:space="preserve"> </w:t>
      </w:r>
      <w:r>
        <w:t xml:space="preserve">- operational-safeguards.md</w:t>
      </w:r>
      <w:r>
        <w:t xml:space="preserve"> </w:t>
      </w:r>
      <w:r>
        <w:t xml:space="preserve">- incident-and-breach-response.md</w:t>
      </w:r>
      <w:r>
        <w:t xml:space="preserve"> </w:t>
      </w:r>
      <w:r>
        <w:t xml:space="preserve">- vendor-and-business-associates.md</w:t>
      </w:r>
      <w:r>
        <w:t xml:space="preserve"> </w:t>
      </w:r>
      <w:r>
        <w:t xml:space="preserve">-</w:t>
      </w:r>
      <w:r>
        <w:t xml:space="preserve"> </w:t>
      </w:r>
      <w:r>
        <w:rPr>
          <w:b/>
          <w:bCs/>
        </w:rPr>
        <w:t xml:space="preserve">acceptable-use-and-byod.md</w:t>
      </w:r>
      <w:r>
        <w:t xml:space="preserve"> </w:t>
      </w:r>
      <w:r>
        <w:t xml:space="preserve">← new</w:t>
      </w:r>
      <w:r>
        <w:t xml:space="preserve"> </w:t>
      </w:r>
      <w:r>
        <w:t xml:space="preserve">-</w:t>
      </w:r>
      <w:r>
        <w:t xml:space="preserve"> </w:t>
      </w:r>
      <w:r>
        <w:rPr>
          <w:b/>
          <w:bCs/>
        </w:rPr>
        <w:t xml:space="preserve">network-and-cloud-security.md</w:t>
      </w:r>
      <w:r>
        <w:t xml:space="preserve"> </w:t>
      </w:r>
      <w:r>
        <w:t xml:space="preserve">← new</w:t>
      </w:r>
      <w:r>
        <w:t xml:space="preserve"> </w:t>
      </w:r>
      <w:r>
        <w:t xml:space="preserve">- sdlc-and-asset-lifecycle.md</w:t>
      </w:r>
      <w:r>
        <w:t xml:space="preserve"> </w:t>
      </w:r>
      <w:r>
        <w:t xml:space="preserve">- hipaa-definitions.md</w:t>
      </w:r>
      <w:r>
        <w:t xml:space="preserve"> </w:t>
      </w:r>
      <w:r>
        <w:t xml:space="preserve">- platform-and-access-matrix.md + ech-security-assessment.md (matrices)</w:t>
      </w:r>
    </w:p>
    <w:bookmarkEnd w:id="65"/>
    <w:bookmarkStart w:id="66" w:name="X7ab6a7548a59e6d87f063ba1ec18cbcc2235412"/>
    <w:p>
      <w:pPr>
        <w:pStyle w:val="Heading3"/>
      </w:pPr>
      <w:r>
        <w:t xml:space="preserve">7.2 Content to add to existing proposed merges</w:t>
      </w:r>
    </w:p>
    <w:p>
      <w:pPr>
        <w:pStyle w:val="FirstParagraph"/>
      </w:pPr>
      <w:r>
        <w:t xml:space="preserve">Concrete additions, in priority order (Critical items from §2 of the mapping doc first):</w:t>
      </w:r>
    </w:p>
    <w:p>
      <w:pPr>
        <w:pStyle w:val="BodyText"/>
      </w:pPr>
      <w:r>
        <w:rPr>
          <w:b/>
          <w:bCs/>
        </w:rPr>
        <w:t xml:space="preserve">To</w:t>
      </w:r>
      <w:r>
        <w:rPr>
          <w:b/>
          <w:bCs/>
        </w:rPr>
        <w:t xml:space="preserve"> </w:t>
      </w:r>
      <w:r>
        <w:rPr>
          <w:rStyle w:val="VerbatimChar"/>
          <w:b/>
          <w:bCs/>
        </w:rPr>
        <w:t xml:space="preserve">acceptable-use-and-byod.md</w:t>
      </w:r>
      <w:r>
        <w:rPr>
          <w:b/>
          <w:bCs/>
        </w:rPr>
        <w:t xml:space="preserve"> </w:t>
      </w:r>
      <w:r>
        <w:rPr>
          <w:b/>
          <w:bCs/>
        </w:rPr>
        <w:t xml:space="preserve">(NEW file)</w:t>
      </w:r>
      <w:r>
        <w:t xml:space="preserve">:</w:t>
      </w:r>
      <w:r>
        <w:t xml:space="preserve"> </w:t>
      </w:r>
      <w:r>
        <w:t xml:space="preserve">-</w:t>
      </w:r>
      <w:r>
        <w:t xml:space="preserve"> </w:t>
      </w:r>
      <w:r>
        <w:rPr>
          <w:b/>
          <w:bCs/>
        </w:rPr>
        <w:t xml:space="preserve">MDM section</w:t>
      </w:r>
      <w:r>
        <w:t xml:space="preserve"> </w:t>
      </w:r>
      <w:r>
        <w:t xml:space="preserve">— full clause. Address rows 132, 133, 134 directly. Required enrollment for any device touching PHI; OS minimums; remote-wipe capability; consent form.</w:t>
      </w:r>
      <w:r>
        <w:t xml:space="preserve"> </w:t>
      </w:r>
      <w:r>
        <w:t xml:space="preserve">-</w:t>
      </w:r>
      <w:r>
        <w:t xml:space="preserve"> </w:t>
      </w:r>
      <w:r>
        <w:rPr>
          <w:b/>
          <w:bCs/>
        </w:rPr>
        <w:t xml:space="preserve">AI Use clause</w:t>
      </w:r>
      <w:r>
        <w:t xml:space="preserve"> </w:t>
      </w:r>
      <w:r>
        <w:t xml:space="preserve">— full clause. Approved tools allowlist; prohibition on submitting PHI/PII to public LLMs; AI inventory pointer (where the list lives); periodic review. Addresses SIG R.1/R.2/R.5 at minimum viable level.</w:t>
      </w:r>
      <w:r>
        <w:t xml:space="preserve"> </w:t>
      </w:r>
      <w:r>
        <w:t xml:space="preserve">-</w:t>
      </w:r>
      <w:r>
        <w:t xml:space="preserve"> </w:t>
      </w:r>
      <w:r>
        <w:rPr>
          <w:b/>
          <w:bCs/>
        </w:rPr>
        <w:t xml:space="preserve">Acceptable use</w:t>
      </w:r>
      <w:r>
        <w:t xml:space="preserve"> </w:t>
      </w:r>
      <w:r>
        <w:t xml:space="preserve">— full clause. Internet, email, social media, personal use, prohibited activities, sanctions reference.</w:t>
      </w:r>
    </w:p>
    <w:p>
      <w:pPr>
        <w:pStyle w:val="BodyText"/>
      </w:pPr>
      <w:r>
        <w:rPr>
          <w:b/>
          <w:bCs/>
        </w:rPr>
        <w:t xml:space="preserve">To</w:t>
      </w:r>
      <w:r>
        <w:rPr>
          <w:b/>
          <w:bCs/>
        </w:rPr>
        <w:t xml:space="preserve"> </w:t>
      </w:r>
      <w:r>
        <w:rPr>
          <w:rStyle w:val="VerbatimChar"/>
          <w:b/>
          <w:bCs/>
        </w:rPr>
        <w:t xml:space="preserve">technical-safeguards.md</w:t>
      </w:r>
      <w:r>
        <w:t xml:space="preserve">:</w:t>
      </w:r>
      <w:r>
        <w:t xml:space="preserve"> </w:t>
      </w:r>
      <w:r>
        <w:t xml:space="preserve">-</w:t>
      </w:r>
      <w:r>
        <w:t xml:space="preserve"> </w:t>
      </w:r>
      <w:r>
        <w:rPr>
          <w:b/>
          <w:bCs/>
        </w:rPr>
        <w:t xml:space="preserve">Session &amp; token management</w:t>
      </w:r>
      <w:r>
        <w:t xml:space="preserve"> </w:t>
      </w:r>
      <w:r>
        <w:t xml:space="preserve">subsection in §2 (Access control). Addresses OWASP A07 (row 78, FOLLOW UP, Remediate=Yes). Cover: session expiration, token rotation, refresh-token handling, logout-on-password-change.</w:t>
      </w:r>
      <w:r>
        <w:t xml:space="preserve"> </w:t>
      </w:r>
      <w:r>
        <w:t xml:space="preserve">-</w:t>
      </w:r>
      <w:r>
        <w:t xml:space="preserve"> </w:t>
      </w:r>
      <w:r>
        <w:rPr>
          <w:b/>
          <w:bCs/>
        </w:rPr>
        <w:t xml:space="preserve">Password storage / app secret hashing standard</w:t>
      </w:r>
      <w:r>
        <w:t xml:space="preserve"> </w:t>
      </w:r>
      <w:r>
        <w:t xml:space="preserve">in §3 (Encryption). Addresses OWASP A02 (row 73, FOLLOW UP, Remediate=Yes). Specify hash algorithm (argon2id or bcrypt), salt, iterations; secret-rotation policy.</w:t>
      </w:r>
      <w:r>
        <w:t xml:space="preserve"> </w:t>
      </w:r>
      <w:r>
        <w:t xml:space="preserve">-</w:t>
      </w:r>
      <w:r>
        <w:t xml:space="preserve"> </w:t>
      </w:r>
      <w:r>
        <w:rPr>
          <w:b/>
          <w:bCs/>
        </w:rPr>
        <w:t xml:space="preserve">Default-password change requirement</w:t>
      </w:r>
      <w:r>
        <w:t xml:space="preserve"> </w:t>
      </w:r>
      <w:r>
        <w:t xml:space="preserve">explicit in §2. Addresses SIG N.12 (row 145).</w:t>
      </w:r>
      <w:r>
        <w:t xml:space="preserve"> </w:t>
      </w:r>
      <w:r>
        <w:t xml:space="preserve">-</w:t>
      </w:r>
      <w:r>
        <w:t xml:space="preserve"> </w:t>
      </w:r>
      <w:r>
        <w:rPr>
          <w:b/>
          <w:bCs/>
        </w:rPr>
        <w:t xml:space="preserve">Logging/alerting cadence</w:t>
      </w:r>
      <w:r>
        <w:t xml:space="preserve"> </w:t>
      </w:r>
      <w:r>
        <w:t xml:space="preserve">in a new §8</w:t>
      </w:r>
      <w:r>
        <w:t xml:space="preserve"> </w:t>
      </w:r>
      <w:r>
        <w:t xml:space="preserve">“Logging &amp; Monitoring.”</w:t>
      </w:r>
      <w:r>
        <w:t xml:space="preserve"> </w:t>
      </w:r>
      <w:r>
        <w:t xml:space="preserve">Addresses OWASP A09 (row 80, FOLLOW UP) and SIG J.5 (row 113). Log review cadence, alert thresholds, retention (logs already covered for retention in Framework §9).</w:t>
      </w:r>
    </w:p>
    <w:p>
      <w:pPr>
        <w:pStyle w:val="BodyText"/>
      </w:pPr>
      <w:r>
        <w:rPr>
          <w:b/>
          <w:bCs/>
        </w:rPr>
        <w:t xml:space="preserve">To</w:t>
      </w:r>
      <w:r>
        <w:rPr>
          <w:b/>
          <w:bCs/>
        </w:rPr>
        <w:t xml:space="preserve"> </w:t>
      </w:r>
      <w:r>
        <w:rPr>
          <w:rStyle w:val="VerbatimChar"/>
          <w:b/>
          <w:bCs/>
        </w:rPr>
        <w:t xml:space="preserve">network-and-cloud-security.md</w:t>
      </w:r>
      <w:r>
        <w:rPr>
          <w:b/>
          <w:bCs/>
        </w:rPr>
        <w:t xml:space="preserve"> </w:t>
      </w:r>
      <w:r>
        <w:rPr>
          <w:b/>
          <w:bCs/>
        </w:rPr>
        <w:t xml:space="preserve">(NEW file)</w:t>
      </w:r>
      <w:r>
        <w:t xml:space="preserve">:</w:t>
      </w:r>
      <w:r>
        <w:t xml:space="preserve"> </w:t>
      </w:r>
      <w:r>
        <w:t xml:space="preserve">- All AWS Questionnaire policy-relevant items (rows 2–33).</w:t>
      </w:r>
      <w:r>
        <w:t xml:space="preserve"> </w:t>
      </w:r>
      <w:r>
        <w:t xml:space="preserve">- SIG N.1, N.2, N.3, N.4, N.7, N.8, N.11, N.12 (rows 136–145).</w:t>
      </w:r>
      <w:r>
        <w:t xml:space="preserve"> </w:t>
      </w:r>
      <w:r>
        <w:t xml:space="preserve">- Wireless policy section (row 143, N.9).</w:t>
      </w:r>
      <w:r>
        <w:t xml:space="preserve"> </w:t>
      </w:r>
      <w:r>
        <w:t xml:space="preserve">- Hardening baseline reference (row 76, OWASP A05).</w:t>
      </w:r>
      <w:r>
        <w:t xml:space="preserve"> </w:t>
      </w:r>
      <w:r>
        <w:t xml:space="preserve">- Patch management SLA for network devices (row 77, OWASP A06, FOLLOW UP, Remediate=Yes).</w:t>
      </w:r>
      <w:r>
        <w:t xml:space="preserve"> </w:t>
      </w:r>
      <w:r>
        <w:t xml:space="preserve">- SSRF defenses (row 81, OWASP A10, FOLLOW UP). Outbound URL allowlisting, blocking AWS metadata endpoint from app subnets.</w:t>
      </w:r>
    </w:p>
    <w:p>
      <w:pPr>
        <w:pStyle w:val="BodyText"/>
      </w:pPr>
      <w:r>
        <w:rPr>
          <w:b/>
          <w:bCs/>
        </w:rPr>
        <w:t xml:space="preserve">To</w:t>
      </w:r>
      <w:r>
        <w:rPr>
          <w:b/>
          <w:bCs/>
        </w:rPr>
        <w:t xml:space="preserve"> </w:t>
      </w:r>
      <w:r>
        <w:rPr>
          <w:rStyle w:val="VerbatimChar"/>
          <w:b/>
          <w:bCs/>
        </w:rPr>
        <w:t xml:space="preserve">operational-safeguards.md</w:t>
      </w:r>
      <w:r>
        <w:rPr>
          <w:b/>
          <w:bCs/>
        </w:rPr>
        <w:t xml:space="preserve"> </w:t>
      </w:r>
      <w:r>
        <w:rPr>
          <w:b/>
          <w:bCs/>
        </w:rPr>
        <w:t xml:space="preserve">§5 (Contingency Planning)</w:t>
      </w:r>
      <w:r>
        <w:t xml:space="preserve">:</w:t>
      </w:r>
      <w:r>
        <w:t xml:space="preserve"> </w:t>
      </w:r>
      <w:r>
        <w:t xml:space="preserve">-</w:t>
      </w:r>
      <w:r>
        <w:t xml:space="preserve"> </w:t>
      </w:r>
      <w:r>
        <w:rPr>
          <w:b/>
          <w:bCs/>
        </w:rPr>
        <w:t xml:space="preserve">Pandemic / infectious disease appendix</w:t>
      </w:r>
      <w:r>
        <w:t xml:space="preserve"> </w:t>
      </w:r>
      <w:r>
        <w:t xml:space="preserve">— full clause (~1 page). Addresses row 119 (K.4, NO + FOLLOW UP). Remote-work activation, staff health protocols, supply continuity.</w:t>
      </w:r>
      <w:r>
        <w:t xml:space="preserve"> </w:t>
      </w:r>
      <w:r>
        <w:t xml:space="preserve">-</w:t>
      </w:r>
      <w:r>
        <w:t xml:space="preserve"> </w:t>
      </w:r>
      <w:r>
        <w:rPr>
          <w:b/>
          <w:bCs/>
        </w:rPr>
        <w:t xml:space="preserve">DR testing program</w:t>
      </w:r>
      <w:r>
        <w:t xml:space="preserve"> </w:t>
      </w:r>
      <w:r>
        <w:t xml:space="preserve">subsection — placeholder + cadence. Addresses row 117 (K.2, FOLLOW UP). State annual cadence and last-test date placeholder.</w:t>
      </w:r>
      <w:r>
        <w:t xml:space="preserve"> </w:t>
      </w:r>
      <w:r>
        <w:t xml:space="preserve">-</w:t>
      </w:r>
      <w:r>
        <w:t xml:space="preserve"> </w:t>
      </w:r>
      <w:r>
        <w:rPr>
          <w:b/>
          <w:bCs/>
        </w:rPr>
        <w:t xml:space="preserve">Multi-vendor resiliency / single-vendor risk acceptance</w:t>
      </w:r>
      <w:r>
        <w:t xml:space="preserve"> </w:t>
      </w:r>
      <w:r>
        <w:t xml:space="preserve">— full clause. Addresses row 124 (K.30, NO + FOLLOW UP). Inventory Aptible/AWS/Cloudflare dependencies; document risk acceptance + monitoring + exit considerations.</w:t>
      </w:r>
    </w:p>
    <w:p>
      <w:pPr>
        <w:pStyle w:val="BodyText"/>
      </w:pPr>
      <w:r>
        <w:rPr>
          <w:b/>
          <w:bCs/>
        </w:rPr>
        <w:t xml:space="preserve">To</w:t>
      </w:r>
      <w:r>
        <w:rPr>
          <w:b/>
          <w:bCs/>
        </w:rPr>
        <w:t xml:space="preserve"> </w:t>
      </w:r>
      <w:r>
        <w:rPr>
          <w:rStyle w:val="VerbatimChar"/>
          <w:b/>
          <w:bCs/>
        </w:rPr>
        <w:t xml:space="preserve">governance-and-risk-management.md</w:t>
      </w:r>
      <w:r>
        <w:t xml:space="preserve">:</w:t>
      </w:r>
      <w:r>
        <w:t xml:space="preserve"> </w:t>
      </w:r>
      <w:r>
        <w:t xml:space="preserve">-</w:t>
      </w:r>
      <w:r>
        <w:t xml:space="preserve"> </w:t>
      </w:r>
      <w:r>
        <w:rPr>
          <w:b/>
          <w:bCs/>
        </w:rPr>
        <w:t xml:space="preserve">Records Retention schedule</w:t>
      </w:r>
      <w:r>
        <w:t xml:space="preserve"> </w:t>
      </w:r>
      <w:r>
        <w:t xml:space="preserve">— full table. Addresses SIG D.3 / K.11 (rows 99, 123). Retention by record type: PHI (lifetime + 6yr per HIPAA), audit logs (6mo hot + S3 archive per Framework §9), email (TBD), HR records (per state law), financial records (7yr).</w:t>
      </w:r>
      <w:r>
        <w:t xml:space="preserve"> </w:t>
      </w:r>
      <w:r>
        <w:t xml:space="preserve">-</w:t>
      </w:r>
      <w:r>
        <w:t xml:space="preserve"> </w:t>
      </w:r>
      <w:r>
        <w:rPr>
          <w:b/>
          <w:bCs/>
        </w:rPr>
        <w:t xml:space="preserve">Enterprise Risk Management framing</w:t>
      </w:r>
      <w:r>
        <w:t xml:space="preserve"> </w:t>
      </w:r>
      <w:r>
        <w:t xml:space="preserve">— short clause expanding HIPAA risk-mgmt to broader operational/strategic risk. Addresses SIG A.1 (row 92).</w:t>
      </w:r>
      <w:r>
        <w:t xml:space="preserve"> </w:t>
      </w:r>
      <w:r>
        <w:t xml:space="preserve">-</w:t>
      </w:r>
      <w:r>
        <w:t xml:space="preserve"> </w:t>
      </w:r>
      <w:r>
        <w:rPr>
          <w:b/>
          <w:bCs/>
        </w:rPr>
        <w:t xml:space="preserve">HR security policy pointer + sanctions clause</w:t>
      </w:r>
      <w:r>
        <w:t xml:space="preserve"> </w:t>
      </w:r>
      <w:r>
        <w:t xml:space="preserve">— placeholder + consolidated sanctions clause per CONSOLIDATION §5c. Addresses SIG E.1 (row 100) at minimum viable level until full HR policy authored.</w:t>
      </w:r>
      <w:r>
        <w:t xml:space="preserve"> </w:t>
      </w:r>
      <w:r>
        <w:t xml:space="preserve">-</w:t>
      </w:r>
      <w:r>
        <w:t xml:space="preserve"> </w:t>
      </w:r>
      <w:r>
        <w:rPr>
          <w:b/>
          <w:bCs/>
        </w:rPr>
        <w:t xml:space="preserve">Assurance Program section</w:t>
      </w:r>
      <w:r>
        <w:t xml:space="preserve"> </w:t>
      </w:r>
      <w:r>
        <w:t xml:space="preserve">— short clause referencing pentest cadence, SOC2/HITRUST stance, internal audit. Addresses rows 182, 183 + Insurance row 181. Point to an</w:t>
      </w:r>
      <w:r>
        <w:t xml:space="preserve"> </w:t>
      </w:r>
      <w:r>
        <w:rPr>
          <w:rStyle w:val="VerbatimChar"/>
        </w:rPr>
        <w:t xml:space="preserve">assurance/</w:t>
      </w:r>
      <w:r>
        <w:t xml:space="preserve"> </w:t>
      </w:r>
      <w:r>
        <w:t xml:space="preserve">folder for actual reports.</w:t>
      </w:r>
      <w:r>
        <w:t xml:space="preserve"> </w:t>
      </w:r>
      <w:r>
        <w:t xml:space="preserve">-</w:t>
      </w:r>
      <w:r>
        <w:t xml:space="preserve"> </w:t>
      </w:r>
      <w:r>
        <w:rPr>
          <w:b/>
          <w:bCs/>
        </w:rPr>
        <w:t xml:space="preserve">Compliance &amp; ethics / fraud prevention pointer</w:t>
      </w:r>
      <w:r>
        <w:t xml:space="preserve"> </w:t>
      </w:r>
      <w:r>
        <w:t xml:space="preserve">— minimal clause naming the Code of Conduct + whistleblower channel locations. Addresses SIG L.4 / L.6 (rows 128, 130).</w:t>
      </w:r>
      <w:r>
        <w:t xml:space="preserve"> </w:t>
      </w:r>
      <w:r>
        <w:t xml:space="preserve">-</w:t>
      </w:r>
      <w:r>
        <w:t xml:space="preserve"> </w:t>
      </w:r>
      <w:r>
        <w:rPr>
          <w:b/>
          <w:bCs/>
        </w:rPr>
        <w:t xml:space="preserve">Sanctions clause</w:t>
      </w:r>
      <w:r>
        <w:t xml:space="preserve"> </w:t>
      </w:r>
      <w:r>
        <w:t xml:space="preserve">(also per CONSOLIDATION §5c) closes the disciplinary-action gap and satisfies 45 CFR §164.530(e) at one location.</w:t>
      </w:r>
    </w:p>
    <w:p>
      <w:pPr>
        <w:pStyle w:val="BodyText"/>
      </w:pPr>
      <w:r>
        <w:rPr>
          <w:b/>
          <w:bCs/>
        </w:rPr>
        <w:t xml:space="preserve">To</w:t>
      </w:r>
      <w:r>
        <w:rPr>
          <w:b/>
          <w:bCs/>
        </w:rPr>
        <w:t xml:space="preserve"> </w:t>
      </w:r>
      <w:r>
        <w:rPr>
          <w:rStyle w:val="VerbatimChar"/>
          <w:b/>
          <w:bCs/>
        </w:rPr>
        <w:t xml:space="preserve">vendor-and-business-associates.md</w:t>
      </w:r>
      <w:r>
        <w:t xml:space="preserve">:</w:t>
      </w:r>
      <w:r>
        <w:t xml:space="preserve"> </w:t>
      </w:r>
      <w:r>
        <w:t xml:space="preserve">-</w:t>
      </w:r>
      <w:r>
        <w:t xml:space="preserve"> </w:t>
      </w:r>
      <w:r>
        <w:rPr>
          <w:b/>
          <w:bCs/>
        </w:rPr>
        <w:t xml:space="preserve">C-SCRM section</w:t>
      </w:r>
      <w:r>
        <w:t xml:space="preserve"> </w:t>
      </w:r>
      <w:r>
        <w:t xml:space="preserve">— short clause expanding existing vendor risk to explicit supply-chain language for software dependencies, OSS, container base images, SaaS subprocessors. Addresses SIG S.32 / S.57 / S.61 / S.80 / S.100 (rows 176–180).</w:t>
      </w:r>
      <w:r>
        <w:t xml:space="preserve"> </w:t>
      </w:r>
      <w:r>
        <w:t xml:space="preserve">-</w:t>
      </w:r>
      <w:r>
        <w:t xml:space="preserve"> </w:t>
      </w:r>
      <w:r>
        <w:rPr>
          <w:b/>
          <w:bCs/>
        </w:rPr>
        <w:t xml:space="preserve">Nth-party flow-down language</w:t>
      </w:r>
      <w:r>
        <w:t xml:space="preserve"> </w:t>
      </w:r>
      <w:r>
        <w:t xml:space="preserve">— already covered in</w:t>
      </w:r>
      <w:r>
        <w:t xml:space="preserve"> </w:t>
      </w:r>
      <w:r>
        <w:rPr>
          <w:rStyle w:val="VerbatimChar"/>
        </w:rPr>
        <w:t xml:space="preserve">information-security-framework.md</w:t>
      </w:r>
      <w:r>
        <w:t xml:space="preserve"> </w:t>
      </w:r>
      <w:r>
        <w:t xml:space="preserve">§11 (mark Full per mapping §1.5); migrate verbatim.</w:t>
      </w:r>
    </w:p>
    <w:p>
      <w:pPr>
        <w:pStyle w:val="BodyText"/>
      </w:pPr>
      <w:r>
        <w:rPr>
          <w:b/>
          <w:bCs/>
        </w:rPr>
        <w:t xml:space="preserve">To</w:t>
      </w:r>
      <w:r>
        <w:rPr>
          <w:b/>
          <w:bCs/>
        </w:rPr>
        <w:t xml:space="preserve"> </w:t>
      </w:r>
      <w:r>
        <w:rPr>
          <w:rStyle w:val="VerbatimChar"/>
          <w:b/>
          <w:bCs/>
        </w:rPr>
        <w:t xml:space="preserve">sdlc-and-asset-lifecycle.md</w:t>
      </w:r>
      <w:r>
        <w:t xml:space="preserve">:</w:t>
      </w:r>
      <w:r>
        <w:t xml:space="preserve"> </w:t>
      </w:r>
      <w:r>
        <w:t xml:space="preserve">-</w:t>
      </w:r>
      <w:r>
        <w:t xml:space="preserve"> </w:t>
      </w:r>
      <w:r>
        <w:rPr>
          <w:b/>
          <w:bCs/>
        </w:rPr>
        <w:t xml:space="preserve">Change Management</w:t>
      </w:r>
      <w:r>
        <w:t xml:space="preserve"> </w:t>
      </w:r>
      <w:r>
        <w:t xml:space="preserve">subsection — full clause. Addresses SIG G.2 (row 104). Approval, testing, rollback, emergency change exception.</w:t>
      </w:r>
      <w:r>
        <w:t xml:space="preserve"> </w:t>
      </w:r>
      <w:r>
        <w:t xml:space="preserve">-</w:t>
      </w:r>
      <w:r>
        <w:t xml:space="preserve"> </w:t>
      </w:r>
      <w:r>
        <w:rPr>
          <w:b/>
          <w:bCs/>
        </w:rPr>
        <w:t xml:space="preserve">Patch management SLA</w:t>
      </w:r>
      <w:r>
        <w:t xml:space="preserve"> </w:t>
      </w:r>
      <w:r>
        <w:t xml:space="preserve">— concrete cadence (e.g., Critical = 7 days, High = 30 days). Addresses OWASP A06 / SIG N.4 (rows 77, 139).</w:t>
      </w:r>
      <w:r>
        <w:t xml:space="preserve"> </w:t>
      </w:r>
      <w:r>
        <w:t xml:space="preserve">-</w:t>
      </w:r>
      <w:r>
        <w:t xml:space="preserve"> </w:t>
      </w:r>
      <w:r>
        <w:rPr>
          <w:b/>
          <w:bCs/>
        </w:rPr>
        <w:t xml:space="preserve">Code integrity / signed artifacts</w:t>
      </w:r>
      <w:r>
        <w:t xml:space="preserve"> </w:t>
      </w:r>
      <w:r>
        <w:t xml:space="preserve">— short clause. Addresses OWASP A08 (row 79).</w:t>
      </w:r>
      <w:r>
        <w:t xml:space="preserve"> </w:t>
      </w:r>
      <w:r>
        <w:t xml:space="preserve">-</w:t>
      </w:r>
      <w:r>
        <w:t xml:space="preserve"> </w:t>
      </w:r>
      <w:r>
        <w:rPr>
          <w:b/>
          <w:bCs/>
        </w:rPr>
        <w:t xml:space="preserve">Secure coding standard pointer</w:t>
      </w:r>
      <w:r>
        <w:t xml:space="preserve"> </w:t>
      </w:r>
      <w:r>
        <w:t xml:space="preserve">— minimal clause naming approved guidance (OWASP ASVS or similar). Addresses OWASP A03/A04/A10 (rows 74, 75, 81).</w:t>
      </w:r>
      <w:r>
        <w:t xml:space="preserve"> </w:t>
      </w:r>
      <w:r>
        <w:t xml:space="preserve">-</w:t>
      </w:r>
      <w:r>
        <w:t xml:space="preserve"> </w:t>
      </w:r>
      <w:r>
        <w:rPr>
          <w:b/>
          <w:bCs/>
        </w:rPr>
        <w:t xml:space="preserve">Fix the header bug</w:t>
      </w:r>
      <w:r>
        <w:t xml:space="preserve"> </w:t>
      </w:r>
      <w:r>
        <w:t xml:space="preserve">— file currently mis-titled</w:t>
      </w:r>
      <w:r>
        <w:t xml:space="preserve"> </w:t>
      </w:r>
      <w:r>
        <w:t xml:space="preserve">“Security Incident Management Policy / IT-026”</w:t>
      </w:r>
      <w:r>
        <w:t xml:space="preserve"> </w:t>
      </w:r>
      <w:r>
        <w:t xml:space="preserve">(also collides with Framework’s IT-026).</w:t>
      </w:r>
    </w:p>
    <w:p>
      <w:pPr>
        <w:pStyle w:val="BodyText"/>
      </w:pPr>
      <w:r>
        <w:rPr>
          <w:b/>
          <w:bCs/>
        </w:rPr>
        <w:t xml:space="preserve">To</w:t>
      </w:r>
      <w:r>
        <w:rPr>
          <w:b/>
          <w:bCs/>
        </w:rPr>
        <w:t xml:space="preserve"> </w:t>
      </w:r>
      <w:r>
        <w:rPr>
          <w:rStyle w:val="VerbatimChar"/>
          <w:b/>
          <w:bCs/>
        </w:rPr>
        <w:t xml:space="preserve">incident-and-breach-response.md</w:t>
      </w:r>
      <w:r>
        <w:t xml:space="preserve">:</w:t>
      </w:r>
      <w:r>
        <w:t xml:space="preserve"> </w:t>
      </w:r>
      <w:r>
        <w:t xml:space="preserve">-</w:t>
      </w:r>
      <w:r>
        <w:t xml:space="preserve"> </w:t>
      </w:r>
      <w:r>
        <w:rPr>
          <w:b/>
          <w:bCs/>
        </w:rPr>
        <w:t xml:space="preserve">Tamper-evident incident log</w:t>
      </w:r>
      <w:r>
        <w:t xml:space="preserve"> </w:t>
      </w:r>
      <w:r>
        <w:t xml:space="preserve">clause. Addresses SIG J.14 (row 115). Currently §III(c) requires a log but not tamper protection.</w:t>
      </w:r>
      <w:r>
        <w:t xml:space="preserve"> </w:t>
      </w:r>
      <w:r>
        <w:t xml:space="preserve">-</w:t>
      </w:r>
      <w:r>
        <w:t xml:space="preserve"> </w:t>
      </w:r>
      <w:r>
        <w:rPr>
          <w:b/>
          <w:bCs/>
        </w:rPr>
        <w:t xml:space="preserve">MSSP / outsourced IR statement</w:t>
      </w:r>
      <w:r>
        <w:t xml:space="preserve"> </w:t>
      </w:r>
      <w:r>
        <w:t xml:space="preserve">— short clause stating whether IR is outsourced (currently No). Addresses SIG J.11 (row 114).</w:t>
      </w:r>
      <w:r>
        <w:t xml:space="preserve"> </w:t>
      </w:r>
      <w:r>
        <w:t xml:space="preserve">-</w:t>
      </w:r>
      <w:r>
        <w:t xml:space="preserve"> </w:t>
      </w:r>
      <w:r>
        <w:rPr>
          <w:b/>
          <w:bCs/>
        </w:rPr>
        <w:t xml:space="preserve">AWS-specific incident playbook</w:t>
      </w:r>
      <w:r>
        <w:t xml:space="preserve"> </w:t>
      </w:r>
      <w:r>
        <w:t xml:space="preserve">pointer to</w:t>
      </w:r>
      <w:r>
        <w:t xml:space="preserve"> </w:t>
      </w:r>
      <w:r>
        <w:rPr>
          <w:rStyle w:val="VerbatimChar"/>
        </w:rPr>
        <w:t xml:space="preserve">network-and-cloud-security.md</w:t>
      </w:r>
      <w:r>
        <w:t xml:space="preserve">. Addresses AWS Proc.3 (row 31).</w:t>
      </w:r>
    </w:p>
    <w:bookmarkEnd w:id="66"/>
    <w:bookmarkStart w:id="67" w:name="X9f50a0369f33f621b1675ece9a16f0bce5c07d3"/>
    <w:p>
      <w:pPr>
        <w:pStyle w:val="Heading3"/>
      </w:pPr>
      <w:r>
        <w:t xml:space="preserve">7.3 Content to remove or simplify (drives §3 cruft list of mapping doc)</w:t>
      </w:r>
    </w:p>
    <w:p>
      <w:pPr>
        <w:pStyle w:val="FirstParagraph"/>
      </w:pPr>
      <w:r>
        <w:t xml:space="preserve">When consolidating,</w:t>
      </w:r>
      <w:r>
        <w:t xml:space="preserve"> </w:t>
      </w:r>
      <w:r>
        <w:rPr>
          <w:b/>
          <w:bCs/>
        </w:rPr>
        <w:t xml:space="preserve">shorten or cut</w:t>
      </w:r>
      <w:r>
        <w:t xml:space="preserve"> </w:t>
      </w:r>
      <w:r>
        <w:t xml:space="preserve">the following because no ECH/SIG item asks for them:</w:t>
      </w:r>
    </w:p>
    <w:p>
      <w:pPr>
        <w:pStyle w:val="Compact"/>
        <w:numPr>
          <w:ilvl w:val="0"/>
          <w:numId w:val="1053"/>
        </w:numPr>
      </w:pPr>
      <w:r>
        <w:rPr>
          <w:b/>
          <w:bCs/>
        </w:rPr>
        <w:t xml:space="preserve">PHI use-and-disclosure exhibits</w:t>
      </w:r>
      <w:r>
        <w:t xml:space="preserve"> </w:t>
      </w:r>
      <w:r>
        <w:t xml:space="preserve">for law enforcement, military, national security, correctional institutions, organ donation, workers’ comp, coroners, funeral directors. Collapse 8 sections (~130 lines in</w:t>
      </w:r>
      <w:r>
        <w:t xml:space="preserve"> </w:t>
      </w:r>
      <w:r>
        <w:rPr>
          <w:rStyle w:val="VerbatimChar"/>
        </w:rPr>
        <w:t xml:space="preserve">hipaa-phi-use-and-disclosure.md</w:t>
      </w:r>
      <w:r>
        <w:t xml:space="preserve">) into a single</w:t>
      </w:r>
      <w:r>
        <w:t xml:space="preserve"> </w:t>
      </w:r>
      <w:r>
        <w:t xml:space="preserve">“Disclosures permitted under 45 CFR §164.512 require CPO approval”</w:t>
      </w:r>
      <w:r>
        <w:t xml:space="preserve"> </w:t>
      </w:r>
      <w:r>
        <w:t xml:space="preserve">paragraph. Keep public-health (relevant to women’s-health practice) and threat-to-safety (clinically relevant) inline. Net cut: ~130 lines from</w:t>
      </w:r>
      <w:r>
        <w:t xml:space="preserve"> </w:t>
      </w:r>
      <w:r>
        <w:rPr>
          <w:rStyle w:val="VerbatimChar"/>
        </w:rPr>
        <w:t xml:space="preserve">phi-use-and-disclosure.md</w:t>
      </w:r>
      <w:r>
        <w:t xml:space="preserve">.</w:t>
      </w:r>
    </w:p>
    <w:p>
      <w:pPr>
        <w:pStyle w:val="Compact"/>
        <w:numPr>
          <w:ilvl w:val="0"/>
          <w:numId w:val="1053"/>
        </w:numPr>
      </w:pPr>
      <w:r>
        <w:rPr>
          <w:b/>
          <w:bCs/>
        </w:rPr>
        <w:t xml:space="preserve">Off-site shredding vendor selection process</w:t>
      </w:r>
      <w:r>
        <w:t xml:space="preserve"> </w:t>
      </w:r>
      <w:r>
        <w:t xml:space="preserve">in</w:t>
      </w:r>
      <w:r>
        <w:t xml:space="preserve"> </w:t>
      </w:r>
      <w:r>
        <w:rPr>
          <w:rStyle w:val="VerbatimChar"/>
        </w:rPr>
        <w:t xml:space="preserve">hipaa-paper-documents.md</w:t>
      </w:r>
      <w:r>
        <w:t xml:space="preserve"> </w:t>
      </w:r>
      <w:r>
        <w:t xml:space="preserve">§III(c)(iv). Cut to one sentence. Net cut: ~15 lines.</w:t>
      </w:r>
    </w:p>
    <w:p>
      <w:pPr>
        <w:pStyle w:val="Compact"/>
        <w:numPr>
          <w:ilvl w:val="0"/>
          <w:numId w:val="1053"/>
        </w:numPr>
      </w:pPr>
      <w:r>
        <w:rPr>
          <w:b/>
          <w:bCs/>
        </w:rPr>
        <w:t xml:space="preserve">Foreign-country encryption export controls</w:t>
      </w:r>
      <w:r>
        <w:t xml:space="preserve"> </w:t>
      </w:r>
      <w:r>
        <w:t xml:space="preserve">in</w:t>
      </w:r>
      <w:r>
        <w:t xml:space="preserve"> </w:t>
      </w:r>
      <w:r>
        <w:rPr>
          <w:rStyle w:val="VerbatimChar"/>
        </w:rPr>
        <w:t xml:space="preserve">hipaa-encryption.md</w:t>
      </w:r>
      <w:r>
        <w:t xml:space="preserve"> </w:t>
      </w:r>
      <w:r>
        <w:t xml:space="preserve">§III(c)(iii). Cut entirely; not in Millie’s threat model. Net cut: ~5 lines.</w:t>
      </w:r>
    </w:p>
    <w:p>
      <w:pPr>
        <w:pStyle w:val="Compact"/>
        <w:numPr>
          <w:ilvl w:val="0"/>
          <w:numId w:val="1053"/>
        </w:numPr>
      </w:pPr>
      <w:r>
        <w:rPr>
          <w:b/>
          <w:bCs/>
        </w:rPr>
        <w:t xml:space="preserve">Per-page paper-copy fee supply itemization</w:t>
      </w:r>
      <w:r>
        <w:t xml:space="preserve"> </w:t>
      </w:r>
      <w:r>
        <w:t xml:space="preserve">in</w:t>
      </w:r>
      <w:r>
        <w:t xml:space="preserve"> </w:t>
      </w:r>
      <w:r>
        <w:rPr>
          <w:rStyle w:val="VerbatimChar"/>
        </w:rPr>
        <w:t xml:space="preserve">hipaa-right-to-access.md</w:t>
      </w:r>
      <w:r>
        <w:t xml:space="preserve"> </w:t>
      </w:r>
      <w:r>
        <w:t xml:space="preserve">§III(a)(vii). Keep flat-fee statement +</w:t>
      </w:r>
      <w:r>
        <w:t xml:space="preserve"> </w:t>
      </w:r>
      <w:r>
        <w:t xml:space="preserve">“no patient denied for inability to pay.”</w:t>
      </w:r>
      <w:r>
        <w:t xml:space="preserve"> </w:t>
      </w:r>
      <w:r>
        <w:t xml:space="preserve">Cut supply-cost detail. Net cut: ~10 lines.</w:t>
      </w:r>
    </w:p>
    <w:p>
      <w:pPr>
        <w:pStyle w:val="Compact"/>
        <w:numPr>
          <w:ilvl w:val="0"/>
          <w:numId w:val="1053"/>
        </w:numPr>
      </w:pPr>
      <w:r>
        <w:rPr>
          <w:b/>
          <w:bCs/>
        </w:rPr>
        <w:t xml:space="preserve">Breach notification fill-in-the-blank paper forms</w:t>
      </w:r>
      <w:r>
        <w:t xml:space="preserve"> </w:t>
      </w:r>
      <w:r>
        <w:t xml:space="preserve">(Exhibits B, C, D in</w:t>
      </w:r>
      <w:r>
        <w:t xml:space="preserve"> </w:t>
      </w:r>
      <w:r>
        <w:rPr>
          <w:rStyle w:val="VerbatimChar"/>
        </w:rPr>
        <w:t xml:space="preserve">hipaa-breach-notification.md</w:t>
      </w:r>
      <w:r>
        <w:t xml:space="preserve">). Move to a</w:t>
      </w:r>
      <w:r>
        <w:t xml:space="preserve"> </w:t>
      </w:r>
      <w:r>
        <w:rPr>
          <w:rStyle w:val="VerbatimChar"/>
        </w:rPr>
        <w:t xml:space="preserve">forms/</w:t>
      </w:r>
      <w:r>
        <w:t xml:space="preserve"> </w:t>
      </w:r>
      <w:r>
        <w:t xml:space="preserve">folder or convert to</w:t>
      </w:r>
      <w:r>
        <w:t xml:space="preserve"> </w:t>
      </w:r>
      <w:r>
        <w:t xml:space="preserve">“use template at Google Workspace &gt; Compliance &gt; Breach Forms.”</w:t>
      </w:r>
      <w:r>
        <w:t xml:space="preserve"> </w:t>
      </w:r>
      <w:r>
        <w:t xml:space="preserve">Net cut: ~100 lines from</w:t>
      </w:r>
      <w:r>
        <w:t xml:space="preserve"> </w:t>
      </w:r>
      <w:r>
        <w:rPr>
          <w:rStyle w:val="VerbatimChar"/>
        </w:rPr>
        <w:t xml:space="preserve">incident-and-breach-response.md</w:t>
      </w:r>
      <w:r>
        <w:t xml:space="preserve">.</w:t>
      </w:r>
    </w:p>
    <w:p>
      <w:pPr>
        <w:pStyle w:val="Compact"/>
        <w:numPr>
          <w:ilvl w:val="0"/>
          <w:numId w:val="1053"/>
        </w:numPr>
      </w:pPr>
      <w:r>
        <w:rPr>
          <w:b/>
          <w:bCs/>
        </w:rPr>
        <w:t xml:space="preserve">Information Blocking Compliance Policy cross-references</w:t>
      </w:r>
      <w:r>
        <w:t xml:space="preserve"> </w:t>
      </w:r>
      <w:r>
        <w:t xml:space="preserve">in</w:t>
      </w:r>
      <w:r>
        <w:t xml:space="preserve"> </w:t>
      </w:r>
      <w:r>
        <w:rPr>
          <w:rStyle w:val="VerbatimChar"/>
        </w:rPr>
        <w:t xml:space="preserve">hipaa-right-to-access.md</w:t>
      </w:r>
      <w:r>
        <w:t xml:space="preserve"> </w:t>
      </w:r>
      <w:r>
        <w:t xml:space="preserve">(per CONSOLIDATION §1.13). Inline the EHI definition; drop the cross-references. Net cut: ~5 lines.</w:t>
      </w:r>
    </w:p>
    <w:p>
      <w:pPr>
        <w:pStyle w:val="Compact"/>
        <w:numPr>
          <w:ilvl w:val="0"/>
          <w:numId w:val="1053"/>
        </w:numPr>
      </w:pPr>
      <w:r>
        <w:rPr>
          <w:b/>
          <w:bCs/>
        </w:rPr>
        <w:t xml:space="preserve">Privacy-policy.md base64 image placeholders and page-footer artifacts</w:t>
      </w:r>
      <w:r>
        <w:t xml:space="preserve"> </w:t>
      </w:r>
      <w:r>
        <w:t xml:space="preserve">(already part of cleanup plan).</w:t>
      </w:r>
    </w:p>
    <w:p>
      <w:pPr>
        <w:pStyle w:val="FirstParagraph"/>
      </w:pPr>
      <w:r>
        <w:t xml:space="preserve">Total reduction: ~265 lines of cruft removed alongside ~3 new policy files / sections added. Net document length holds roughly steady while coverage breadth increases.</w:t>
      </w:r>
    </w:p>
    <w:bookmarkEnd w:id="67"/>
    <w:bookmarkStart w:id="68" w:name="new-policy-files-needed-summary"/>
    <w:p>
      <w:pPr>
        <w:pStyle w:val="Heading3"/>
      </w:pPr>
      <w:r>
        <w:t xml:space="preserve">7.4 New policy files needed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New file</w:t>
            </w:r>
          </w:p>
        </w:tc>
        <w:tc>
          <w:tcPr/>
          <w:p>
            <w:pPr>
              <w:pStyle w:val="Compact"/>
            </w:pPr>
            <w:r>
              <w:t xml:space="preserve">Drives which gaps</w:t>
            </w:r>
          </w:p>
        </w:tc>
        <w:tc>
          <w:tcPr/>
          <w:p>
            <w:pPr>
              <w:pStyle w:val="Compact"/>
            </w:pPr>
            <w:r>
              <w:t xml:space="preserve">Severity if absent</w:t>
            </w:r>
          </w:p>
        </w:tc>
        <w:tc>
          <w:tcPr/>
          <w:p>
            <w:pPr>
              <w:pStyle w:val="Compact"/>
            </w:pPr>
            <w:r>
              <w:t xml:space="preserve">Owner</w:t>
            </w:r>
          </w:p>
        </w:tc>
        <w:tc>
          <w:tcPr/>
          <w:p>
            <w:pPr>
              <w:pStyle w:val="Compact"/>
            </w:pPr>
            <w:r>
              <w:t xml:space="preserve">Est. size</w:t>
            </w:r>
          </w:p>
        </w:tc>
      </w:tr>
      <w:tr>
        <w:tc>
          <w:tcPr/>
          <w:p>
            <w:pPr>
              <w:pStyle w:val="Compact"/>
            </w:pPr>
            <w:r>
              <w:rPr>
                <w:rStyle w:val="VerbatimChar"/>
              </w:rPr>
              <w:t xml:space="preserve">acceptable-use-and-byod.md</w:t>
            </w:r>
          </w:p>
        </w:tc>
        <w:tc>
          <w:tcPr/>
          <w:p>
            <w:pPr>
              <w:pStyle w:val="Compact"/>
            </w:pPr>
            <w:r>
              <w:t xml:space="preserve">MDM (row 132,</w:t>
            </w:r>
            <w:r>
              <w:t xml:space="preserve"> </w:t>
            </w:r>
            <w:r>
              <w:rPr>
                <w:b/>
                <w:bCs/>
              </w:rPr>
              <w:t xml:space="preserve">Critical</w:t>
            </w:r>
            <w:r>
              <w:t xml:space="preserve">), BYOD (rows 133, 134,</w:t>
            </w:r>
            <w:r>
              <w:t xml:space="preserve"> </w:t>
            </w:r>
            <w:r>
              <w:rPr>
                <w:b/>
                <w:bCs/>
              </w:rPr>
              <w:t xml:space="preserve">Critical</w:t>
            </w:r>
            <w:r>
              <w:t xml:space="preserve">), AUP (row 98,</w:t>
            </w:r>
            <w:r>
              <w:t xml:space="preserve"> </w:t>
            </w:r>
            <w:r>
              <w:rPr>
                <w:b/>
                <w:bCs/>
              </w:rPr>
              <w:t xml:space="preserve">High</w:t>
            </w:r>
            <w:r>
              <w:t xml:space="preserve">), AI policy (rows 171–174,</w:t>
            </w:r>
            <w:r>
              <w:t xml:space="preserve"> </w:t>
            </w:r>
            <w:r>
              <w:rPr>
                <w:b/>
                <w:bCs/>
              </w:rPr>
              <w:t xml:space="preserve">High</w:t>
            </w:r>
            <w:r>
              <w:t xml:space="preserve">)</w:t>
            </w:r>
          </w:p>
        </w:tc>
        <w:tc>
          <w:tcPr/>
          <w:p>
            <w:pPr>
              <w:pStyle w:val="Compact"/>
            </w:pPr>
            <w:r>
              <w:t xml:space="preserve">Critical</w:t>
            </w:r>
          </w:p>
        </w:tc>
        <w:tc>
          <w:tcPr/>
          <w:p>
            <w:pPr>
              <w:pStyle w:val="Compact"/>
            </w:pPr>
            <w:r>
              <w:t xml:space="preserve">Security Officer</w:t>
            </w:r>
          </w:p>
        </w:tc>
        <w:tc>
          <w:tcPr/>
          <w:p>
            <w:pPr>
              <w:pStyle w:val="Compact"/>
            </w:pPr>
            <w:r>
              <w:t xml:space="preserve">8–12 KB</w:t>
            </w:r>
          </w:p>
        </w:tc>
      </w:tr>
      <w:tr>
        <w:tc>
          <w:tcPr/>
          <w:p>
            <w:pPr>
              <w:pStyle w:val="Compact"/>
            </w:pPr>
            <w:r>
              <w:rPr>
                <w:rStyle w:val="VerbatimChar"/>
              </w:rPr>
              <w:t xml:space="preserve">network-and-cloud-security.md</w:t>
            </w:r>
          </w:p>
        </w:tc>
        <w:tc>
          <w:tcPr/>
          <w:p>
            <w:pPr>
              <w:pStyle w:val="Compact"/>
            </w:pPr>
            <w:r>
              <w:t xml:space="preserve">All AWS Q (rows 2–33), SIG N.1–N.12 (rows 136–145,</w:t>
            </w:r>
            <w:r>
              <w:t xml:space="preserve"> </w:t>
            </w:r>
            <w:r>
              <w:rPr>
                <w:b/>
                <w:bCs/>
              </w:rPr>
              <w:t xml:space="preserve">High</w:t>
            </w:r>
            <w:r>
              <w:t xml:space="preserve">), Wireless (</w:t>
            </w:r>
            <w:r>
              <w:rPr>
                <w:b/>
                <w:bCs/>
              </w:rPr>
              <w:t xml:space="preserve">Medium</w:t>
            </w:r>
            <w:r>
              <w:t xml:space="preserve">), Hardening (</w:t>
            </w:r>
            <w:r>
              <w:rPr>
                <w:b/>
                <w:bCs/>
              </w:rPr>
              <w:t xml:space="preserve">High</w:t>
            </w:r>
            <w:r>
              <w:t xml:space="preserve">), SSRF (</w:t>
            </w:r>
            <w:r>
              <w:rPr>
                <w:b/>
                <w:bCs/>
              </w:rPr>
              <w:t xml:space="preserve">Critical</w:t>
            </w:r>
            <w:r>
              <w:t xml:space="preserve">)</w:t>
            </w:r>
          </w:p>
        </w:tc>
        <w:tc>
          <w:tcPr/>
          <w:p>
            <w:pPr>
              <w:pStyle w:val="Compact"/>
            </w:pPr>
            <w:r>
              <w:t xml:space="preserve">High–Critical</w:t>
            </w:r>
          </w:p>
        </w:tc>
        <w:tc>
          <w:tcPr/>
          <w:p>
            <w:pPr>
              <w:pStyle w:val="Compact"/>
            </w:pPr>
            <w:r>
              <w:t xml:space="preserve">Security Officer + CTO</w:t>
            </w:r>
          </w:p>
        </w:tc>
        <w:tc>
          <w:tcPr/>
          <w:p>
            <w:pPr>
              <w:pStyle w:val="Compact"/>
            </w:pPr>
            <w:r>
              <w:t xml:space="preserve">8–10 KB</w:t>
            </w:r>
          </w:p>
        </w:tc>
      </w:tr>
    </w:tbl>
    <w:p>
      <w:pPr>
        <w:pStyle w:val="BodyText"/>
      </w:pPr>
      <w:r>
        <w:t xml:space="preserve">Items NOT requiring a new file (absorbed into existing proposed files per §7.2):</w:t>
      </w:r>
      <w:r>
        <w:t xml:space="preserve"> </w:t>
      </w:r>
      <w:r>
        <w:t xml:space="preserve">- Records retention →</w:t>
      </w:r>
      <w:r>
        <w:t xml:space="preserve"> </w:t>
      </w:r>
      <w:r>
        <w:rPr>
          <w:rStyle w:val="VerbatimChar"/>
        </w:rPr>
        <w:t xml:space="preserve">governance-and-risk-management.md</w:t>
      </w:r>
      <w:r>
        <w:t xml:space="preserve"> </w:t>
      </w:r>
      <w:r>
        <w:t xml:space="preserve">- ERM →</w:t>
      </w:r>
      <w:r>
        <w:t xml:space="preserve"> </w:t>
      </w:r>
      <w:r>
        <w:rPr>
          <w:rStyle w:val="VerbatimChar"/>
        </w:rPr>
        <w:t xml:space="preserve">governance-and-risk-management.md</w:t>
      </w:r>
      <w:r>
        <w:t xml:space="preserve"> </w:t>
      </w:r>
      <w:r>
        <w:t xml:space="preserve">- HR security pointer →</w:t>
      </w:r>
      <w:r>
        <w:t xml:space="preserve"> </w:t>
      </w:r>
      <w:r>
        <w:rPr>
          <w:rStyle w:val="VerbatimChar"/>
        </w:rPr>
        <w:t xml:space="preserve">governance-and-risk-management.md</w:t>
      </w:r>
      <w:r>
        <w:t xml:space="preserve"> </w:t>
      </w:r>
      <w:r>
        <w:t xml:space="preserve">- Assurance / pentest program →</w:t>
      </w:r>
      <w:r>
        <w:t xml:space="preserve"> </w:t>
      </w:r>
      <w:r>
        <w:rPr>
          <w:rStyle w:val="VerbatimChar"/>
        </w:rPr>
        <w:t xml:space="preserve">governance-and-risk-management.md</w:t>
      </w:r>
      <w:r>
        <w:t xml:space="preserve"> </w:t>
      </w:r>
      <w:r>
        <w:t xml:space="preserve">- Compliance &amp; ethics pointer →</w:t>
      </w:r>
      <w:r>
        <w:t xml:space="preserve"> </w:t>
      </w:r>
      <w:r>
        <w:rPr>
          <w:rStyle w:val="VerbatimChar"/>
        </w:rPr>
        <w:t xml:space="preserve">governance-and-risk-management.md</w:t>
      </w:r>
      <w:r>
        <w:t xml:space="preserve"> </w:t>
      </w:r>
      <w:r>
        <w:t xml:space="preserve">- Pandemic plan →</w:t>
      </w:r>
      <w:r>
        <w:t xml:space="preserve"> </w:t>
      </w:r>
      <w:r>
        <w:rPr>
          <w:rStyle w:val="VerbatimChar"/>
        </w:rPr>
        <w:t xml:space="preserve">operational-safeguards.md</w:t>
      </w:r>
      <w:r>
        <w:t xml:space="preserve"> </w:t>
      </w:r>
      <w:r>
        <w:t xml:space="preserve">§5</w:t>
      </w:r>
      <w:r>
        <w:t xml:space="preserve"> </w:t>
      </w:r>
      <w:r>
        <w:t xml:space="preserve">- DR testing cadence →</w:t>
      </w:r>
      <w:r>
        <w:t xml:space="preserve"> </w:t>
      </w:r>
      <w:r>
        <w:rPr>
          <w:rStyle w:val="VerbatimChar"/>
        </w:rPr>
        <w:t xml:space="preserve">operational-safeguards.md</w:t>
      </w:r>
      <w:r>
        <w:t xml:space="preserve"> </w:t>
      </w:r>
      <w:r>
        <w:t xml:space="preserve">§5</w:t>
      </w:r>
      <w:r>
        <w:t xml:space="preserve"> </w:t>
      </w:r>
      <w:r>
        <w:t xml:space="preserve">- Multi-vendor resiliency →</w:t>
      </w:r>
      <w:r>
        <w:t xml:space="preserve"> </w:t>
      </w:r>
      <w:r>
        <w:rPr>
          <w:rStyle w:val="VerbatimChar"/>
        </w:rPr>
        <w:t xml:space="preserve">operational-safeguards.md</w:t>
      </w:r>
      <w:r>
        <w:t xml:space="preserve"> </w:t>
      </w:r>
      <w:r>
        <w:t xml:space="preserve">§5</w:t>
      </w:r>
      <w:r>
        <w:t xml:space="preserve"> </w:t>
      </w:r>
      <w:r>
        <w:t xml:space="preserve">- Change Management →</w:t>
      </w:r>
      <w:r>
        <w:t xml:space="preserve"> </w:t>
      </w:r>
      <w:r>
        <w:rPr>
          <w:rStyle w:val="VerbatimChar"/>
        </w:rPr>
        <w:t xml:space="preserve">sdlc-and-asset-lifecycle.md</w:t>
      </w:r>
      <w:r>
        <w:t xml:space="preserve"> </w:t>
      </w:r>
      <w:r>
        <w:t xml:space="preserve">- Patch SLA →</w:t>
      </w:r>
      <w:r>
        <w:t xml:space="preserve"> </w:t>
      </w:r>
      <w:r>
        <w:rPr>
          <w:rStyle w:val="VerbatimChar"/>
        </w:rPr>
        <w:t xml:space="preserve">sdlc-and-asset-lifecycle.md</w:t>
      </w:r>
      <w:r>
        <w:t xml:space="preserve"> </w:t>
      </w:r>
      <w:r>
        <w:t xml:space="preserve">- Secure coding pointer →</w:t>
      </w:r>
      <w:r>
        <w:t xml:space="preserve"> </w:t>
      </w:r>
      <w:r>
        <w:rPr>
          <w:rStyle w:val="VerbatimChar"/>
        </w:rPr>
        <w:t xml:space="preserve">sdlc-and-asset-lifecycle.md</w:t>
      </w:r>
      <w:r>
        <w:t xml:space="preserve"> </w:t>
      </w:r>
      <w:r>
        <w:t xml:space="preserve">- C-SCRM →</w:t>
      </w:r>
      <w:r>
        <w:t xml:space="preserve"> </w:t>
      </w:r>
      <w:r>
        <w:rPr>
          <w:rStyle w:val="VerbatimChar"/>
        </w:rPr>
        <w:t xml:space="preserve">vendor-and-business-associates.md</w:t>
      </w:r>
      <w:r>
        <w:t xml:space="preserve"> </w:t>
      </w:r>
      <w:r>
        <w:t xml:space="preserve">- Session/token mgmt →</w:t>
      </w:r>
      <w:r>
        <w:t xml:space="preserve"> </w:t>
      </w:r>
      <w:r>
        <w:rPr>
          <w:rStyle w:val="VerbatimChar"/>
        </w:rPr>
        <w:t xml:space="preserve">technical-safeguards.md</w:t>
      </w:r>
      <w:r>
        <w:t xml:space="preserve"> </w:t>
      </w:r>
      <w:r>
        <w:t xml:space="preserve">- Password storage standard →</w:t>
      </w:r>
      <w:r>
        <w:t xml:space="preserve"> </w:t>
      </w:r>
      <w:r>
        <w:rPr>
          <w:rStyle w:val="VerbatimChar"/>
        </w:rPr>
        <w:t xml:space="preserve">technical-safeguards.md</w:t>
      </w:r>
      <w:r>
        <w:t xml:space="preserve"> </w:t>
      </w:r>
      <w:r>
        <w:t xml:space="preserve">- Logging/alerting cadence →</w:t>
      </w:r>
      <w:r>
        <w:t xml:space="preserve"> </w:t>
      </w:r>
      <w:r>
        <w:rPr>
          <w:rStyle w:val="VerbatimChar"/>
        </w:rPr>
        <w:t xml:space="preserve">technical-safeguards.md</w:t>
      </w:r>
      <w:r>
        <w:t xml:space="preserve"> </w:t>
      </w:r>
      <w:r>
        <w:t xml:space="preserve">- Tamper-evident incident log →</w:t>
      </w:r>
      <w:r>
        <w:t xml:space="preserve"> </w:t>
      </w:r>
      <w:r>
        <w:rPr>
          <w:rStyle w:val="VerbatimChar"/>
        </w:rPr>
        <w:t xml:space="preserve">incident-and-breach-response.md</w:t>
      </w:r>
    </w:p>
    <w:p>
      <w:pPr>
        <w:pStyle w:val="BodyText"/>
      </w:pPr>
      <w:r>
        <w:t xml:space="preserve">Items intentionally NOT addressed (out of scope or low priority):</w:t>
      </w:r>
      <w:r>
        <w:t xml:space="preserve"> </w:t>
      </w:r>
      <w:r>
        <w:t xml:space="preserve">- PCI DSS (rows 82–91) — answer</w:t>
      </w:r>
      <w:r>
        <w:t xml:space="preserve"> </w:t>
      </w:r>
      <w:r>
        <w:t xml:space="preserve">“Out of scope per SAQ-A”</w:t>
      </w:r>
      <w:r>
        <w:t xml:space="preserve"> </w:t>
      </w:r>
      <w:r>
        <w:t xml:space="preserve">if payments outsourced.</w:t>
      </w:r>
      <w:r>
        <w:t xml:space="preserve"> </w:t>
      </w:r>
      <w:r>
        <w:t xml:space="preserve">- ESG / DEI / modern slavery (rows 146–159) — out of scope for HIPAA repo; can be answered as</w:t>
      </w:r>
      <w:r>
        <w:t xml:space="preserve"> </w:t>
      </w:r>
      <w:r>
        <w:t xml:space="preserve">“Not formally documented.”</w:t>
      </w:r>
      <w:r>
        <w:t xml:space="preserve"> </w:t>
      </w:r>
      <w:r>
        <w:t xml:space="preserve">- IoMT (row 64), Antitrust (row 127) — N/A for Millie.</w:t>
      </w:r>
      <w:r>
        <w:t xml:space="preserve"> </w:t>
      </w:r>
      <w:r>
        <w:t xml:space="preserve">- Patient-facing NPP — already TBD per §3.10.</w:t>
      </w:r>
    </w:p>
    <w:bookmarkEnd w:id="68"/>
    <w:bookmarkStart w:id="69" w:name="revised-migration-ordering"/>
    <w:p>
      <w:pPr>
        <w:pStyle w:val="Heading3"/>
      </w:pPr>
      <w:r>
        <w:t xml:space="preserve">7.5 Revised migration ordering</w:t>
      </w:r>
    </w:p>
    <w:p>
      <w:pPr>
        <w:pStyle w:val="FirstParagraph"/>
      </w:pPr>
      <w:r>
        <w:t xml:space="preserve">Insert two steps before §6 Step 2:</w:t>
      </w:r>
    </w:p>
    <w:p>
      <w:pPr>
        <w:pStyle w:val="Compact"/>
        <w:numPr>
          <w:ilvl w:val="0"/>
          <w:numId w:val="1054"/>
        </w:numPr>
      </w:pPr>
      <w:r>
        <w:rPr>
          <w:b/>
          <w:bCs/>
        </w:rPr>
        <w:t xml:space="preserve">Step 1a — Stand up the 2 new files first</w:t>
      </w:r>
      <w:r>
        <w:t xml:space="preserve"> </w:t>
      </w:r>
      <w:r>
        <w:t xml:space="preserve">(in skeleton form) so that consolidations can cross-reference them.</w:t>
      </w:r>
      <w:r>
        <w:t xml:space="preserve"> </w:t>
      </w:r>
      <w:r>
        <w:rPr>
          <w:rStyle w:val="VerbatimChar"/>
        </w:rPr>
        <w:t xml:space="preserve">acceptable-use-and-byod.md</w:t>
      </w:r>
      <w:r>
        <w:t xml:space="preserve"> </w:t>
      </w:r>
      <w:r>
        <w:t xml:space="preserve">and</w:t>
      </w:r>
      <w:r>
        <w:t xml:space="preserve"> </w:t>
      </w:r>
      <w:r>
        <w:rPr>
          <w:rStyle w:val="VerbatimChar"/>
        </w:rPr>
        <w:t xml:space="preserve">network-and-cloud-security.md</w:t>
      </w:r>
      <w:r>
        <w:t xml:space="preserve"> </w:t>
      </w:r>
      <w:r>
        <w:t xml:space="preserve">can start as 1-page outlines populated from the CSV answers; flesh out after the merge PRs.</w:t>
      </w:r>
    </w:p>
    <w:p>
      <w:pPr>
        <w:pStyle w:val="Compact"/>
        <w:numPr>
          <w:ilvl w:val="0"/>
          <w:numId w:val="1054"/>
        </w:numPr>
      </w:pPr>
      <w:r>
        <w:rPr>
          <w:b/>
          <w:bCs/>
        </w:rPr>
        <w:t xml:space="preserve">Step 1b — Address the 12 FOLLOW UP / Remediate items in</w:t>
      </w:r>
      <w:r>
        <w:rPr>
          <w:b/>
          <w:bCs/>
        </w:rPr>
        <w:t xml:space="preserve"> </w:t>
      </w:r>
      <w:r>
        <w:rPr>
          <w:rStyle w:val="VerbatimChar"/>
          <w:b/>
          <w:bCs/>
        </w:rPr>
        <w:t xml:space="preserve">POLICY-VS-QUESTIONNAIRE-MAPPING.md</w:t>
      </w:r>
      <w:r>
        <w:rPr>
          <w:b/>
          <w:bCs/>
        </w:rPr>
        <w:t xml:space="preserve"> </w:t>
      </w:r>
      <w:r>
        <w:rPr>
          <w:b/>
          <w:bCs/>
        </w:rPr>
        <w:t xml:space="preserve">§4</w:t>
      </w:r>
      <w:r>
        <w:t xml:space="preserve"> </w:t>
      </w:r>
      <w:r>
        <w:t xml:space="preserve">in parallel. Some are policy edits (sessions, password storage); some are operational fixes (GitHub upgrade). They should ship before ECH submission, not before consolidation, but the policy versions of each should land in the new files.</w:t>
      </w:r>
    </w:p>
    <w:p>
      <w:pPr>
        <w:pStyle w:val="FirstParagraph"/>
      </w:pPr>
      <w:r>
        <w:t xml:space="preserve">The rest of §6’s ordering (Step 2 creates the thematic files, Step 3 deletes old single-topic files, Step 4 updates README) is unchanged — just operate on 12 final files instead of 10.</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New%20Policy%20Docs/_archive/" TargetMode="External" /><Relationship Type="http://schemas.openxmlformats.org/officeDocument/2006/relationships/hyperlink" Id="rId10" Target="New%20Policy%20Docs/operational-safeguards.docx" TargetMode="External" /><Relationship Type="http://schemas.openxmlformats.org/officeDocument/2006/relationships/hyperlink" Id="rId13" Target="New%20Policy%20Docs/privacy-policy.docx" TargetMode="External" /><Relationship Type="http://schemas.openxmlformats.org/officeDocument/2006/relationships/hyperlink" Id="rId11" Target="POLICY-VS-QUESTIONNAIRE-MAPPING.docx" TargetMode="External" /><Relationship Type="http://schemas.openxmlformats.org/officeDocument/2006/relationships/hyperlink" Id="rId59" Target="README.docx" TargetMode="External" /><Relationship Type="http://schemas.openxmlformats.org/officeDocument/2006/relationships/hyperlink" Id="rId12" Target="TODO.docx" TargetMode="External" /></Relationships>
</file>

<file path=word/_rels/footnotes.xml.rels><?xml version="1.0" encoding="UTF-8"?><Relationships xmlns="http://schemas.openxmlformats.org/package/2006/relationships"><Relationship Type="http://schemas.openxmlformats.org/officeDocument/2006/relationships/hyperlink" Id="rId9" Target="New%20Policy%20Docs/_archive/" TargetMode="External" /><Relationship Type="http://schemas.openxmlformats.org/officeDocument/2006/relationships/hyperlink" Id="rId10" Target="New%20Policy%20Docs/operational-safeguards.docx" TargetMode="External" /><Relationship Type="http://schemas.openxmlformats.org/officeDocument/2006/relationships/hyperlink" Id="rId13" Target="New%20Policy%20Docs/privacy-policy.docx" TargetMode="External" /><Relationship Type="http://schemas.openxmlformats.org/officeDocument/2006/relationships/hyperlink" Id="rId11" Target="POLICY-VS-QUESTIONNAIRE-MAPPING.docx" TargetMode="External" /><Relationship Type="http://schemas.openxmlformats.org/officeDocument/2006/relationships/hyperlink" Id="rId59" Target="README.docx" TargetMode="External" /><Relationship Type="http://schemas.openxmlformats.org/officeDocument/2006/relationships/hyperlink" Id="rId12" Target="TODO.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CONSOLIDATION-PROPOSAL</dc:title>
  <dc:creator/>
  <cp:keywords/>
  <dcterms:created xsi:type="dcterms:W3CDTF">2026-05-26T18:49:06Z</dcterms:created>
  <dcterms:modified xsi:type="dcterms:W3CDTF">2026-05-26T18:49:06Z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Privacy Officer + Security Officer (joint)</vt:lpwstr>
  </property>
  <property fmtid="{D5CDD505-2E9C-101B-9397-08002B2CF9AE}" pid="4" name="status">
    <vt:lpwstr>EXECUTED — see POLICY-VS-QUESTIONNAIRE-MAPPING.md for current state</vt:lpwstr>
  </property>
</Properties>
</file>