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TODO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todo-actions-before-ech-submission"/>
    <w:p>
      <w:pPr>
        <w:pStyle w:val="Heading1"/>
      </w:pPr>
      <w:r>
        <w:t xml:space="preserve">TODO — Actions before ECH submission</w:t>
      </w:r>
    </w:p>
    <w:p>
      <w:pPr>
        <w:pStyle w:val="FirstParagraph"/>
      </w:pPr>
      <w:r>
        <w:t xml:space="preserve">Tracked items surfaced by</w:t>
      </w:r>
      <w:r>
        <w:t xml:space="preserve"> </w:t>
      </w:r>
      <w:hyperlink r:id="rId9">
        <w:r>
          <w:rPr>
            <w:rStyle w:val="Hyperlink"/>
          </w:rPr>
          <w:t xml:space="preserve">ECH Security Assessment Questions - Questions.csv</w:t>
        </w:r>
      </w:hyperlink>
      <w:r>
        <w:t xml:space="preserve"> </w:t>
      </w:r>
      <w:r>
        <w:t xml:space="preserve">and cross-referenced in</w:t>
      </w:r>
      <w:r>
        <w:t xml:space="preserve"> </w:t>
      </w:r>
      <w:hyperlink r:id="rId10">
        <w:r>
          <w:rPr>
            <w:rStyle w:val="Hyperlink"/>
          </w:rPr>
          <w:t xml:space="preserve">POLICY-VS-QUESTIONNAIRE-MAPPING.md §4</w:t>
        </w:r>
      </w:hyperlink>
      <w:r>
        <w:t xml:space="preserve">. Owner:</w:t>
      </w:r>
      <w:r>
        <w:t xml:space="preserve"> </w:t>
      </w:r>
      <w:r>
        <w:rPr>
          <w:b/>
          <w:bCs/>
        </w:rPr>
        <w:t xml:space="preserve">Security Officer</w:t>
      </w:r>
      <w:r>
        <w:t xml:space="preserve"> </w:t>
      </w:r>
      <w:r>
        <w:t xml:space="preserve">(Chase) unless noted. Review at the start of each ECH submission cycle.</w:t>
      </w:r>
    </w:p>
    <w:p>
      <w:pPr>
        <w:pStyle w:val="BodyText"/>
      </w:pPr>
      <w:r>
        <w:t xml:space="preserve">Severity: 🔴 Critical (Remediate=Yes or NO answer on Critical-severity gap) · 🟠 High (FOLLOW UP) · 🟡 Operational (judgment call, no formal flag yet).</w:t>
      </w:r>
    </w:p>
    <w:p>
      <w:r>
        <w:pict>
          <v:rect style="width:0;height:1.5pt" o:hralign="center" o:hrstd="t" o:hr="t"/>
        </w:pict>
      </w:r>
    </w:p>
    <w:bookmarkStart w:id="14" w:name="X9b911eb2bdd26b3040b9413768fe138c0fab88c"/>
    <w:p>
      <w:pPr>
        <w:pStyle w:val="Heading2"/>
      </w:pPr>
      <w:r>
        <w:t xml:space="preserve">🔴 Critical — must close before ECH submission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CSV row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needs to happen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A02 — Password storage</w:t>
            </w:r>
            <w:r>
              <w:t xml:space="preserve"> </w:t>
            </w:r>
            <w:r>
              <w:t xml:space="preserve">(Remediate=Yes)</w:t>
            </w:r>
          </w:p>
        </w:tc>
        <w:tc>
          <w:tcPr/>
          <w:p>
            <w:pPr>
              <w:pStyle w:val="Compact"/>
            </w:pPr>
            <w:r>
              <w:t xml:space="preserve">Document the password-hash algorithm in use (argon2id or bcrypt), salt strategy, iteration count, and rotation policy. Update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technical-safeguards.md</w:t>
              </w:r>
            </w:hyperlink>
            <w:r>
              <w:t xml:space="preserve"> </w:t>
            </w:r>
            <w:r>
              <w:t xml:space="preserve">§Encryption.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A06 — Vulnerability scanning + patching</w:t>
            </w:r>
            <w:r>
              <w:t xml:space="preserve"> </w:t>
            </w:r>
            <w:r>
              <w:t xml:space="preserve">(Remediate=Yes)</w:t>
            </w:r>
          </w:p>
        </w:tc>
        <w:tc>
          <w:tcPr/>
          <w:p>
            <w:pPr>
              <w:pStyle w:val="Compact"/>
            </w:pPr>
            <w:r>
              <w:t xml:space="preserve">Complete the GitHub plan/version upgrade. Document patch SLA (Critical=7d, High=30d)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sdlc-and-asset-lifecycle.md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A07 — Session &amp; token handling</w:t>
            </w:r>
            <w:r>
              <w:t xml:space="preserve"> </w:t>
            </w:r>
            <w:r>
              <w:t xml:space="preserve">(Remediate=Yes)</w:t>
            </w:r>
          </w:p>
        </w:tc>
        <w:tc>
          <w:tcPr/>
          <w:p>
            <w:pPr>
              <w:pStyle w:val="Compact"/>
            </w:pPr>
            <w:r>
              <w:t xml:space="preserve">Document session expiration, token rotation, refresh-token handling, logout-on-password-change. Update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technical-safeguards.md</w:t>
              </w:r>
            </w:hyperlink>
            <w:r>
              <w:t xml:space="preserve"> </w:t>
            </w:r>
            <w:r>
              <w:t xml:space="preserve">§Access Control.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 M.1.3 — MDM program</w:t>
            </w:r>
            <w:r>
              <w:t xml:space="preserve"> </w:t>
            </w:r>
            <w:r>
              <w:t xml:space="preserve">(NO + FOLLOW UP)</w:t>
            </w:r>
          </w:p>
        </w:tc>
        <w:tc>
          <w:tcPr/>
          <w:p>
            <w:pPr>
              <w:pStyle w:val="Compact"/>
            </w:pPr>
            <w:r>
              <w:t xml:space="preserve">Stand up MDM (or document why N/A and the compensating controls). Backed by new policy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acceptable-use-and-byod.md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133–134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 M.1.5/M.1.6 — BYOD on network with scoped data</w:t>
            </w:r>
            <w:r>
              <w:t xml:space="preserve"> </w:t>
            </w:r>
            <w:r>
              <w:t xml:space="preserve">(YES + FOLLOW UP)</w:t>
            </w:r>
          </w:p>
        </w:tc>
        <w:tc>
          <w:tcPr/>
          <w:p>
            <w:pPr>
              <w:pStyle w:val="Compact"/>
            </w:pPr>
            <w:r>
              <w:t xml:space="preserve">Pair with #4. Publish BYOD enrollment + acceptance form. Stop allowing un-enrolled personal devices to touch PHI.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14"/>
    <w:bookmarkStart w:id="17" w:name="X77d7cc83eedd2634298b227c43b0beede90ac07"/>
    <w:p>
      <w:pPr>
        <w:pStyle w:val="Heading2"/>
      </w:pPr>
      <w:r>
        <w:t xml:space="preserve">🟠 High — close before submission if time, otherwise note as in-flight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CSV row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needs to happen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OWASP A04 — Secure SDLC with AppSec</w:t>
            </w:r>
          </w:p>
        </w:tc>
        <w:tc>
          <w:tcPr/>
          <w:p>
            <w:pPr>
              <w:pStyle w:val="Compact"/>
            </w:pPr>
            <w:r>
              <w:t xml:space="preserve">Decide whether current SDLC answer is sufficient; expand SDLC doc with AppSec role if not.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OWASP A09 — Logging &amp; monitoring</w:t>
            </w:r>
          </w:p>
        </w:tc>
        <w:tc>
          <w:tcPr/>
          <w:p>
            <w:pPr>
              <w:pStyle w:val="Compact"/>
            </w:pPr>
            <w:r>
              <w:t xml:space="preserve">Document log review cadence, alert thresholds, retention. Update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technical-safeguards.md</w:t>
              </w:r>
            </w:hyperlink>
            <w:r>
              <w:t xml:space="preserve"> </w:t>
            </w:r>
            <w:r>
              <w:t xml:space="preserve">§Logging.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OWASP A10 — SSRF defenses</w:t>
            </w:r>
          </w:p>
        </w:tc>
        <w:tc>
          <w:tcPr/>
          <w:p>
            <w:pPr>
              <w:pStyle w:val="Compact"/>
            </w:pPr>
            <w:r>
              <w:t xml:space="preserve">Document URL allowlisting; block AWS metadata endpoint from app subnets. Update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network-and-cloud-security.md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SIG K.2 — DR testing program</w:t>
            </w:r>
          </w:p>
        </w:tc>
        <w:tc>
          <w:tcPr/>
          <w:p>
            <w:pPr>
              <w:pStyle w:val="Compact"/>
            </w:pPr>
            <w:r>
              <w:t xml:space="preserve">Define annual DR test cadence; capture last test date. Update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operational-safeguards.md</w:t>
              </w:r>
            </w:hyperlink>
            <w:r>
              <w:t xml:space="preserve"> </w:t>
            </w:r>
            <w:r>
              <w:t xml:space="preserve">§Contingency.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SIG K.4 — Pandemic plan (NO)</w:t>
            </w:r>
          </w:p>
        </w:tc>
        <w:tc>
          <w:tcPr/>
          <w:p>
            <w:pPr>
              <w:pStyle w:val="Compact"/>
            </w:pPr>
            <w:r>
              <w:t xml:space="preserve">Add pandemic plan section to Contingency Planning (remote-work activation, supply continuity).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SIG K.30 — Multi-vendor resiliency (NO)</w:t>
            </w:r>
          </w:p>
        </w:tc>
        <w:tc>
          <w:tcPr/>
          <w:p>
            <w:pPr>
              <w:pStyle w:val="Compact"/>
            </w:pPr>
            <w:r>
              <w:t xml:space="preserve">Document accepted single-vendor risk on Aptible / AWS / Cloudflare + any mitigations + exit considerations.</w:t>
            </w:r>
          </w:p>
        </w:tc>
        <w:tc>
          <w:tcPr/>
          <w:p>
            <w:pPr>
              <w:pStyle w:val="Compact"/>
            </w:pPr>
            <w:r>
              <w:t xml:space="preserve">CTO + Security Officer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17"/>
    <w:bookmarkStart w:id="18" w:name="X27a552efc499aac943c2b5a8b0acf9a8ed9641f"/>
    <w:p>
      <w:pPr>
        <w:pStyle w:val="Heading2"/>
      </w:pPr>
      <w:r>
        <w:t xml:space="preserve">🟡 Operational — Zoe’s AWS judgment calls (review pre-submission)</w:t>
      </w:r>
    </w:p>
    <w:p>
      <w:pPr>
        <w:pStyle w:val="FirstParagraph"/>
      </w:pPr>
      <w:r>
        <w:t xml:space="preserve">These have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answers on the AWS questionnaire but are not formally flagged FOLLOW UP. Decide whether to remediate, accept the risk in writing, or answer as-is.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CSV row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Notes from Zoe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IAM users with console access</w:t>
            </w:r>
          </w:p>
        </w:tc>
        <w:tc>
          <w:tcPr/>
          <w:p>
            <w:pPr>
              <w:pStyle w:val="Compact"/>
            </w:pPr>
            <w:r>
              <w:t xml:space="preserve">Currently exists; common assessor red flag.</w:t>
            </w:r>
          </w:p>
        </w:tc>
        <w:tc>
          <w:tcPr/>
          <w:p>
            <w:pPr>
              <w:pStyle w:val="Compact"/>
            </w:pPr>
            <w:r>
              <w:t xml:space="preserve">zoe.h@millieclinic.com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12, 13</w:t>
            </w:r>
          </w:p>
        </w:tc>
        <w:tc>
          <w:tcPr/>
          <w:p>
            <w:pPr>
              <w:pStyle w:val="Compact"/>
            </w:pPr>
            <w:r>
              <w:t xml:space="preserve">Programmatic access keys configured</w:t>
            </w:r>
          </w:p>
        </w:tc>
        <w:tc>
          <w:tcPr/>
          <w:p>
            <w:pPr>
              <w:pStyle w:val="Compact"/>
            </w:pPr>
            <w:r>
              <w:t xml:space="preserve">Used for Aptible deploy + backend S3 writes.</w:t>
            </w:r>
          </w:p>
        </w:tc>
        <w:tc>
          <w:tcPr/>
          <w:p>
            <w:pPr>
              <w:pStyle w:val="Compact"/>
            </w:pPr>
            <w:r>
              <w:t xml:space="preserve">zoe.h@millieclinic.com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IAM users/groups/roles with wildcard admin/S3/IAM</w:t>
            </w:r>
          </w:p>
        </w:tc>
        <w:tc>
          <w:tcPr/>
          <w:p>
            <w:pPr>
              <w:pStyle w:val="Compact"/>
            </w:pPr>
            <w:r>
              <w:t xml:space="preserve">Currently exists.</w:t>
            </w:r>
          </w:p>
        </w:tc>
        <w:tc>
          <w:tcPr/>
          <w:p>
            <w:pPr>
              <w:pStyle w:val="Compact"/>
            </w:pPr>
            <w:r>
              <w:t xml:space="preserve">zoe.h@millieclinic.com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Public subnet still present</w:t>
            </w:r>
          </w:p>
        </w:tc>
        <w:tc>
          <w:tcPr/>
          <w:p>
            <w:pPr>
              <w:pStyle w:val="Compact"/>
            </w:pPr>
            <w:r>
              <w:t xml:space="preserve">“Maybe fix, but not confident how to solve if it breaks something.”</w:t>
            </w:r>
          </w:p>
        </w:tc>
        <w:tc>
          <w:tcPr/>
          <w:p>
            <w:pPr>
              <w:pStyle w:val="Compact"/>
            </w:pPr>
            <w:r>
              <w:t xml:space="preserve">zoe.h@millieclinic.com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AWS Config not enabled</w:t>
            </w:r>
          </w:p>
        </w:tc>
        <w:tc>
          <w:tcPr/>
          <w:p>
            <w:pPr>
              <w:pStyle w:val="Compact"/>
            </w:pPr>
            <w:r>
              <w:t xml:space="preserve">“Might be ok to wait to see if they come back asking.”</w:t>
            </w:r>
          </w:p>
        </w:tc>
        <w:tc>
          <w:tcPr/>
          <w:p>
            <w:pPr>
              <w:pStyle w:val="Compact"/>
            </w:pPr>
            <w:r>
              <w:t xml:space="preserve">zoe.h@millieclinic.com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Unused access key in staging</w:t>
            </w:r>
          </w:p>
        </w:tc>
        <w:tc>
          <w:tcPr/>
          <w:p>
            <w:pPr>
              <w:pStyle w:val="Compact"/>
            </w:pPr>
            <w:r>
              <w:t xml:space="preserve">“Will be used once SES is fully set up; verify next week.”</w:t>
            </w:r>
          </w:p>
        </w:tc>
        <w:tc>
          <w:tcPr/>
          <w:p>
            <w:pPr>
              <w:pStyle w:val="Compact"/>
            </w:pPr>
            <w:r>
              <w:t xml:space="preserve">zoe.h@millieclinic.com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Snowflake IAM role unused &gt;90d</w:t>
            </w:r>
          </w:p>
        </w:tc>
        <w:tc>
          <w:tcPr/>
          <w:p>
            <w:pPr>
              <w:pStyle w:val="Compact"/>
            </w:pPr>
            <w:r>
              <w:t xml:space="preserve">“Flush out good comment for Snowflake.”</w:t>
            </w:r>
          </w:p>
        </w:tc>
        <w:tc>
          <w:tcPr/>
          <w:p>
            <w:pPr>
              <w:pStyle w:val="Compact"/>
            </w:pPr>
            <w:r>
              <w:t xml:space="preserve">zoe.h@millieclinic.com</w:t>
            </w:r>
          </w:p>
        </w:tc>
      </w:tr>
    </w:tbl>
    <w:bookmarkEnd w:id="18"/>
    <w:bookmarkStart w:id="21" w:name="Xbfeac0cdc1299beac9e81a38da1c7a6cf2ca72d"/>
    <w:p>
      <w:pPr>
        <w:pStyle w:val="Heading2"/>
      </w:pPr>
      <w:r>
        <w:t xml:space="preserve">Other outstanding follow-ups (not strictly ECH-blocking)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DMARC / email authentication is not addressed in any policy.</w:t>
      </w:r>
      <w:r>
        <w:t xml:space="preserve"> </w:t>
      </w:r>
      <w:r>
        <w:t xml:space="preserve">Surfaced by the triple-check matrix as the only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-rated row across all 182 ECH questions (CSV row 55 — ISD IT Risk Assessment, Additional Cybersecurity §7). Add an email-authentication standards bullet under</w:t>
      </w:r>
      <w:r>
        <w:t xml:space="preserve"> </w:t>
      </w:r>
      <w:hyperlink r:id="rId15">
        <w:r>
          <w:rPr>
            <w:rStyle w:val="Hyperlink"/>
          </w:rPr>
          <w:t xml:space="preserve">network-and-cloud-security.md</w:t>
        </w:r>
      </w:hyperlink>
      <w:r>
        <w:t xml:space="preserve"> </w:t>
      </w:r>
      <w:r>
        <w:t xml:space="preserve">§1 (or a new §1.x), and verify operational DMARC/SPF/DKIM posture on the millieclinic.com domain. Owner: Security Officer + CTO.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Patient-facing Notice of Privacy Practices</w:t>
      </w:r>
      <w:r>
        <w:t xml:space="preserve"> </w:t>
      </w:r>
      <w:r>
        <w:t xml:space="preserve">is missing from this repo entirely. The file named</w:t>
      </w:r>
      <w:r>
        <w:t xml:space="preserve"> </w:t>
      </w:r>
      <w:r>
        <w:rPr>
          <w:rStyle w:val="VerbatimChar"/>
        </w:rPr>
        <w:t xml:space="preserve">privacy-policy.md</w:t>
      </w:r>
      <w:r>
        <w:t xml:space="preserve"> </w:t>
      </w:r>
      <w:r>
        <w:t xml:space="preserve">is actually a bundle of HIPAA staff policies, not a patient notice. Draft a real NPP. Track in</w:t>
      </w:r>
      <w:r>
        <w:t xml:space="preserve"> </w:t>
      </w:r>
      <w:hyperlink r:id="rId19">
        <w:r>
          <w:rPr>
            <w:rStyle w:val="Hyperlink"/>
          </w:rPr>
          <w:t xml:space="preserve">PATIENT-NOTICE-TODO.md</w:t>
        </w:r>
      </w:hyperlink>
      <w:r>
        <w:t xml:space="preserve"> </w:t>
      </w:r>
      <w:r>
        <w:t xml:space="preserve">(created during consolidation).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COVID-19 staff guidance is incomplete.</w:t>
      </w:r>
      <w:r>
        <w:t xml:space="preserve"> </w:t>
      </w:r>
      <w:r>
        <w:t xml:space="preserve">The source</w:t>
      </w:r>
      <w:r>
        <w:t xml:space="preserve"> </w:t>
      </w:r>
      <w:r>
        <w:rPr>
          <w:rStyle w:val="VerbatimChar"/>
        </w:rPr>
        <w:t xml:space="preserve">Policy Docs/Millie Clinic COVID Policy.docx</w:t>
      </w:r>
      <w:r>
        <w:t xml:space="preserve"> </w:t>
      </w:r>
      <w:r>
        <w:t xml:space="preserve">has a</w:t>
      </w:r>
      <w:r>
        <w:t xml:space="preserve"> </w:t>
      </w:r>
      <w:r>
        <w:t xml:space="preserve">“GUIDANCE FOR STAFF: To Do…”</w:t>
      </w:r>
      <w:r>
        <w:t xml:space="preserve"> </w:t>
      </w:r>
      <w:r>
        <w:t xml:space="preserve">placeholder that was never filled in. The patient-facing protocol is fully documented and is now</w:t>
      </w:r>
      <w:r>
        <w:t xml:space="preserve"> </w:t>
      </w:r>
      <w:hyperlink r:id="rId16">
        <w:r>
          <w:rPr>
            <w:rStyle w:val="Hyperlink"/>
          </w:rPr>
          <w:t xml:space="preserve">operational-safeguards.md §A.9</w:t>
        </w:r>
      </w:hyperlink>
      <w:r>
        <w:t xml:space="preserve">, but staff return-to-work clearance, sick-leave coverage, PPE issuance, and in-clinic exposure-reporting workflow need to be drafted. Owner: Practice Manager + Privacy Officer + clinical lead.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and Aptible Security Incident Management Policy.docx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Policy Docs/</w:t>
      </w:r>
      <w:r>
        <w:t xml:space="preserve">, dated May 24) was not converted or integrated during the May 2026 consolidation. Review and decide whether it should be folded into</w:t>
      </w:r>
      <w:r>
        <w:t xml:space="preserve"> </w:t>
      </w:r>
      <w:hyperlink r:id="rId20">
        <w:r>
          <w:rPr>
            <w:rStyle w:val="Hyperlink"/>
          </w:rPr>
          <w:t xml:space="preserve">incident-and-breach-response.md</w:t>
        </w:r>
      </w:hyperlink>
      <w:r>
        <w:t xml:space="preserve"> </w:t>
      </w:r>
      <w:r>
        <w:t xml:space="preserve">§III(3) (the AWS-specific incident playbook pointer) or</w:t>
      </w:r>
      <w:r>
        <w:t xml:space="preserve"> </w:t>
      </w:r>
      <w:hyperlink r:id="rId15">
        <w:r>
          <w:rPr>
            <w:rStyle w:val="Hyperlink"/>
          </w:rPr>
          <w:t xml:space="preserve">network-and-cloud-security.md</w:t>
        </w:r>
      </w:hyperlink>
      <w:r>
        <w:t xml:space="preserve"> </w:t>
      </w:r>
      <w:r>
        <w:t xml:space="preserve">§13 (AWS-specific incident response section).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Out-of-scope SIG sections</w:t>
      </w:r>
      <w:r>
        <w:t xml:space="preserve"> </w:t>
      </w:r>
      <w:r>
        <w:t xml:space="preserve">to answer as</w:t>
      </w:r>
      <w:r>
        <w:t xml:space="preserve"> </w:t>
      </w:r>
      <w:r>
        <w:t xml:space="preserve">“Not formally documented”</w:t>
      </w:r>
      <w:r>
        <w:t xml:space="preserve"> </w:t>
      </w:r>
      <w:r>
        <w:t xml:space="preserve">or</w:t>
      </w:r>
      <w:r>
        <w:t xml:space="preserve"> </w:t>
      </w:r>
      <w:r>
        <w:t xml:space="preserve">“N/A”</w:t>
      </w:r>
      <w:r>
        <w:t xml:space="preserve"> </w:t>
      </w:r>
      <w:r>
        <w:t xml:space="preserve">rather than author policies for: PCI DSS (rows 82–91), ESG/DEI/modern slavery (146–159), IoMT (64), antitrust (127).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CH%20Security%20Assessment%20Questions%20-%20Questions.csv" TargetMode="External" /><Relationship Type="http://schemas.openxmlformats.org/officeDocument/2006/relationships/hyperlink" Id="rId19" Target="New%20Policy%20Docs/PATIENT-NOTICE-TODO.docx" TargetMode="External" /><Relationship Type="http://schemas.openxmlformats.org/officeDocument/2006/relationships/hyperlink" Id="rId13" Target="New%20Policy%20Docs/acceptable-use-and-byod.docx" TargetMode="External" /><Relationship Type="http://schemas.openxmlformats.org/officeDocument/2006/relationships/hyperlink" Id="rId20" Target="New%20Policy%20Docs/incident-and-breach-response.docx" TargetMode="External" /><Relationship Type="http://schemas.openxmlformats.org/officeDocument/2006/relationships/hyperlink" Id="rId15" Target="New%20Policy%20Docs/network-and-cloud-security.docx" TargetMode="External" /><Relationship Type="http://schemas.openxmlformats.org/officeDocument/2006/relationships/hyperlink" Id="rId16" Target="New%20Policy%20Docs/operational-safeguards.docx" TargetMode="External" /><Relationship Type="http://schemas.openxmlformats.org/officeDocument/2006/relationships/hyperlink" Id="rId12" Target="New%20Policy%20Docs/sdlc-and-asset-lifecycle.docx" TargetMode="External" /><Relationship Type="http://schemas.openxmlformats.org/officeDocument/2006/relationships/hyperlink" Id="rId11" Target="New%20Policy%20Docs/technical-safeguards.docx" TargetMode="External" /><Relationship Type="http://schemas.openxmlformats.org/officeDocument/2006/relationships/hyperlink" Id="rId10" Target="POLICY-VS-QUESTIONNAIRE-MAPPING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CH%20Security%20Assessment%20Questions%20-%20Questions.csv" TargetMode="External" /><Relationship Type="http://schemas.openxmlformats.org/officeDocument/2006/relationships/hyperlink" Id="rId19" Target="New%20Policy%20Docs/PATIENT-NOTICE-TODO.docx" TargetMode="External" /><Relationship Type="http://schemas.openxmlformats.org/officeDocument/2006/relationships/hyperlink" Id="rId13" Target="New%20Policy%20Docs/acceptable-use-and-byod.docx" TargetMode="External" /><Relationship Type="http://schemas.openxmlformats.org/officeDocument/2006/relationships/hyperlink" Id="rId20" Target="New%20Policy%20Docs/incident-and-breach-response.docx" TargetMode="External" /><Relationship Type="http://schemas.openxmlformats.org/officeDocument/2006/relationships/hyperlink" Id="rId15" Target="New%20Policy%20Docs/network-and-cloud-security.docx" TargetMode="External" /><Relationship Type="http://schemas.openxmlformats.org/officeDocument/2006/relationships/hyperlink" Id="rId16" Target="New%20Policy%20Docs/operational-safeguards.docx" TargetMode="External" /><Relationship Type="http://schemas.openxmlformats.org/officeDocument/2006/relationships/hyperlink" Id="rId12" Target="New%20Policy%20Docs/sdlc-and-asset-lifecycle.docx" TargetMode="External" /><Relationship Type="http://schemas.openxmlformats.org/officeDocument/2006/relationships/hyperlink" Id="rId11" Target="New%20Policy%20Docs/technical-safeguards.docx" TargetMode="External" /><Relationship Type="http://schemas.openxmlformats.org/officeDocument/2006/relationships/hyperlink" Id="rId10" Target="POLICY-VS-QUESTIONNAIRE-MAPPING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TODO</dc:title>
  <dc:creator/>
  <cp:keywords/>
  <dcterms:created xsi:type="dcterms:W3CDTF">2026-05-26T18:49:06Z</dcterms:created>
  <dcterms:modified xsi:type="dcterms:W3CDTF">2026-05-26T18:49:06Z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