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operational-safeguards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X5530f69d3b4be67dcf804e2fc98af3ed37ab831"/>
    <w:p>
      <w:pPr>
        <w:pStyle w:val="Heading1"/>
      </w:pPr>
      <w:r>
        <w:t xml:space="preserve">Operational Safeguards — Administrative, Physical, Paper, and Contingency</w:t>
      </w:r>
    </w:p>
    <w:p>
      <w:pPr>
        <w:pStyle w:val="BlockText"/>
      </w:pPr>
      <w:r>
        <w:rPr>
          <w:b/>
          <w:bCs/>
        </w:rPr>
        <w:t xml:space="preserve">Sources.</w:t>
      </w:r>
      <w:r>
        <w:t xml:space="preserve"> </w:t>
      </w:r>
      <w:r>
        <w:t xml:space="preserve">Consolidated from:</w:t>
      </w:r>
      <w:r>
        <w:t xml:space="preserve"> </w:t>
      </w:r>
      <w:r>
        <w:rPr>
          <w:rStyle w:val="VerbatimChar"/>
        </w:rPr>
        <w:t xml:space="preserve">hipaa-safeguards.md</w:t>
      </w:r>
      <w:r>
        <w:t xml:space="preserve"> </w:t>
      </w:r>
      <w:r>
        <w:t xml:space="preserve">(administrative + physical sections only),</w:t>
      </w:r>
      <w:r>
        <w:t xml:space="preserve"> </w:t>
      </w:r>
      <w:r>
        <w:rPr>
          <w:rStyle w:val="VerbatimChar"/>
        </w:rPr>
        <w:t xml:space="preserve">hipaa-paper-documents.md</w:t>
      </w:r>
      <w:r>
        <w:t xml:space="preserve">, and</w:t>
      </w:r>
      <w:r>
        <w:t xml:space="preserve"> </w:t>
      </w:r>
      <w:r>
        <w:rPr>
          <w:rStyle w:val="VerbatimChar"/>
        </w:rPr>
        <w:t xml:space="preserve">hipaa-contingency-planning.md</w:t>
      </w:r>
      <w:r>
        <w:t xml:space="preserve">. Technical safeguards (encryption, passwords, remote access, workstation technical controls) are in</w:t>
      </w:r>
      <w:r>
        <w:t xml:space="preserve"> </w:t>
      </w:r>
      <w:hyperlink r:id="rId9">
        <w:r>
          <w:rPr>
            <w:rStyle w:val="Hyperlink"/>
          </w:rPr>
          <w:t xml:space="preserve">technical-safeguards.md</w:t>
        </w:r>
      </w:hyperlink>
      <w:r>
        <w:t xml:space="preserve">. Originals archived in</w:t>
      </w:r>
      <w:r>
        <w:t xml:space="preserve"> </w:t>
      </w:r>
      <w:r>
        <w:rPr>
          <w:rStyle w:val="VerbatimChar"/>
        </w:rPr>
        <w:t xml:space="preserve">New Policy Docs/_archive/</w:t>
      </w:r>
      <w:r>
        <w:t xml:space="preserve">.</w:t>
      </w:r>
    </w:p>
    <w:bookmarkStart w:id="10"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and all Company personnel.</w:t>
      </w:r>
    </w:p>
    <w:bookmarkEnd w:id="10"/>
    <w:bookmarkStart w:id="11" w:name="ii.-policy"/>
    <w:p>
      <w:pPr>
        <w:pStyle w:val="Heading2"/>
      </w:pPr>
      <w:r>
        <w:t xml:space="preserve">II. Policy</w:t>
      </w:r>
    </w:p>
    <w:p>
      <w:pPr>
        <w:pStyle w:val="FirstParagraph"/>
      </w:pPr>
      <w:r>
        <w:t xml:space="preserve">Company maintains appropriate administrative and physical safeguards to prevent the intentional or unintentional use or disclosure of Protected Health Information (</w:t>
      </w:r>
      <w:r>
        <w:t xml:space="preserve">“PHI”</w:t>
      </w:r>
      <w:r>
        <w:t xml:space="preserve">) in violation of Company policy or applicable law. Personnel are expected to comply with the safeguards in this Policy when handling PHI in any form — oral, written, faxed, mailed, emailed, texted, posted, or printed. Company further maintains a documented Contingency Plan covering data backup, disaster recovery, emergency operations, pandemic response, and vendor-resiliency analysis so that Company can continue to deliver clinical and business services and protect PHI in the event of disruption. Personnel safety takes precedence over all other priorities, including the security of Company assets. Specific technical safeguards governing encryption, access control, password construction, workstation lock timers, and remote access are addressed in</w:t>
      </w:r>
      <w:r>
        <w:t xml:space="preserve"> </w:t>
      </w:r>
      <w:hyperlink r:id="rId9">
        <w:r>
          <w:rPr>
            <w:rStyle w:val="Hyperlink"/>
          </w:rPr>
          <w:t xml:space="preserve">technical-safeguards.md</w:t>
        </w:r>
      </w:hyperlink>
      <w:r>
        <w:t xml:space="preserve">. All controls in this Policy are implemented and overseen by the Security Officer in coordination with the Privacy Officer.</w:t>
      </w:r>
    </w:p>
    <w:bookmarkEnd w:id="11"/>
    <w:bookmarkStart w:id="39" w:name="iii.-procedure"/>
    <w:p>
      <w:pPr>
        <w:pStyle w:val="Heading2"/>
      </w:pPr>
      <w:r>
        <w:t xml:space="preserve">III. Procedure</w:t>
      </w:r>
    </w:p>
    <w:bookmarkStart w:id="19" w:name="Xb59b4868ef6b25df743358c38a41a0720e7b2c0"/>
    <w:p>
      <w:pPr>
        <w:pStyle w:val="Heading3"/>
      </w:pPr>
      <w:r>
        <w:t xml:space="preserve">1. Administrative Safeguards (originally IT-008)</w:t>
      </w:r>
    </w:p>
    <w:bookmarkStart w:id="12" w:name="oral-communications"/>
    <w:p>
      <w:pPr>
        <w:pStyle w:val="Heading4"/>
      </w:pPr>
      <w:r>
        <w:t xml:space="preserve">1.1 Oral Communications</w:t>
      </w:r>
    </w:p>
    <w:p>
      <w:pPr>
        <w:pStyle w:val="FirstParagraph"/>
      </w:pPr>
      <w:r>
        <w:t xml:space="preserve">Personnel must exercise due care to avoid unnecessary disclosures of PHI through oral communications and must pay attention to unauthorized listeners. For example, personnel must not:</w:t>
      </w:r>
    </w:p>
    <w:p>
      <w:pPr>
        <w:pStyle w:val="Compact"/>
        <w:numPr>
          <w:ilvl w:val="0"/>
          <w:numId w:val="1001"/>
        </w:numPr>
      </w:pPr>
      <w:r>
        <w:t xml:space="preserve">Discuss PHI in public areas, including elevators or communal areas.</w:t>
      </w:r>
    </w:p>
    <w:p>
      <w:pPr>
        <w:pStyle w:val="Compact"/>
        <w:numPr>
          <w:ilvl w:val="0"/>
          <w:numId w:val="1001"/>
        </w:numPr>
      </w:pPr>
      <w:r>
        <w:t xml:space="preserve">Discuss or disclose PHI to persons not employed by Company unless consistent with Company’s HIPAA policies and procedures.</w:t>
      </w:r>
    </w:p>
    <w:p>
      <w:pPr>
        <w:pStyle w:val="Compact"/>
        <w:numPr>
          <w:ilvl w:val="0"/>
          <w:numId w:val="1001"/>
        </w:numPr>
      </w:pPr>
      <w:r>
        <w:t xml:space="preserve">Discuss patients or other Individuals with other personnel unless they have a job-related reason to do so.</w:t>
      </w:r>
    </w:p>
    <w:bookmarkEnd w:id="12"/>
    <w:bookmarkStart w:id="13" w:name="facsimile-transmissions"/>
    <w:p>
      <w:pPr>
        <w:pStyle w:val="Heading4"/>
      </w:pPr>
      <w:r>
        <w:t xml:space="preserve">1.2 Facsimile Transmissions</w:t>
      </w:r>
    </w:p>
    <w:p>
      <w:pPr>
        <w:pStyle w:val="FirstParagraph"/>
      </w:pPr>
      <w:r>
        <w:t xml:space="preserve">Facsimile transmissions of PHI are permissible. To protect the confidentiality of PHI and reduce the risk of unauthorized receipt of a fax, personnel must:</w:t>
      </w:r>
    </w:p>
    <w:p>
      <w:pPr>
        <w:pStyle w:val="Compact"/>
        <w:numPr>
          <w:ilvl w:val="0"/>
          <w:numId w:val="1002"/>
        </w:numPr>
      </w:pPr>
      <w:r>
        <w:t xml:space="preserve">Verify the correct fax number prior to sending any fax.</w:t>
      </w:r>
    </w:p>
    <w:p>
      <w:pPr>
        <w:pStyle w:val="Compact"/>
        <w:numPr>
          <w:ilvl w:val="0"/>
          <w:numId w:val="1002"/>
        </w:numPr>
      </w:pPr>
      <w:r>
        <w:t xml:space="preserve">When reasonable, contact the recipient of the PHI to confirm that the recipient knows the fax is coming and can arrange for its timely pickup from the fax machine or receipt by email.</w:t>
      </w:r>
    </w:p>
    <w:p>
      <w:pPr>
        <w:pStyle w:val="Compact"/>
        <w:numPr>
          <w:ilvl w:val="0"/>
          <w:numId w:val="1002"/>
        </w:numPr>
      </w:pPr>
      <w:r>
        <w:t xml:space="preserve">When reasonable, check the fax transmittal summary, log, or confirmation sheet to confirm that the fax was sent to the correct recipient(s). If the sender determines that the fax was erroneously received by an unauthorized recipient, the sender must immediately contact the Privacy Officer.</w:t>
      </w:r>
    </w:p>
    <w:p>
      <w:pPr>
        <w:pStyle w:val="Compact"/>
        <w:numPr>
          <w:ilvl w:val="0"/>
          <w:numId w:val="1002"/>
        </w:numPr>
      </w:pPr>
      <w:r>
        <w:t xml:space="preserve">Ensure that faxes containing PHI are not left unattended.</w:t>
      </w:r>
    </w:p>
    <w:p>
      <w:pPr>
        <w:pStyle w:val="Compact"/>
        <w:numPr>
          <w:ilvl w:val="0"/>
          <w:numId w:val="1002"/>
        </w:numPr>
      </w:pPr>
      <w:r>
        <w:t xml:space="preserve">Send faxes with a fax cover sheet that includes a confidentiality statement.</w:t>
      </w:r>
    </w:p>
    <w:bookmarkEnd w:id="13"/>
    <w:bookmarkStart w:id="14" w:name="X83a54b4622fe87da05cb6225d97ce3a61020169"/>
    <w:p>
      <w:pPr>
        <w:pStyle w:val="Heading4"/>
      </w:pPr>
      <w:r>
        <w:t xml:space="preserve">1.3 Telephone Protocols (including voicemail and appointment reminders)</w:t>
      </w:r>
    </w:p>
    <w:p>
      <w:pPr>
        <w:pStyle w:val="FirstParagraph"/>
      </w:pPr>
      <w:r>
        <w:t xml:space="preserve">Personnel will not discuss PHI over the phone until the following can be confirmed:</w:t>
      </w:r>
    </w:p>
    <w:p>
      <w:pPr>
        <w:pStyle w:val="Compact"/>
        <w:numPr>
          <w:ilvl w:val="0"/>
          <w:numId w:val="1003"/>
        </w:numPr>
      </w:pPr>
      <w:r>
        <w:t xml:space="preserve">The identity of the person on the phone.</w:t>
      </w:r>
    </w:p>
    <w:p>
      <w:pPr>
        <w:pStyle w:val="Compact"/>
        <w:numPr>
          <w:ilvl w:val="0"/>
          <w:numId w:val="1003"/>
        </w:numPr>
      </w:pPr>
      <w:r>
        <w:t xml:space="preserve">That the caller has the need to know the requested information and that the disclosure of PHI is permissible.</w:t>
      </w:r>
    </w:p>
    <w:p>
      <w:pPr>
        <w:pStyle w:val="FirstParagraph"/>
      </w:pPr>
      <w:r>
        <w:t xml:space="preserve">Telephone messages and appointment reminders may be left on answering machines and voicemail systems unless the patient has requested and received approval for an alternative means of communication. The amount of PHI left in any message must be limited to the minimum necessary. Telephone messages that contain information that links a patient’s name to a particular medical condition should be avoided.</w:t>
      </w:r>
    </w:p>
    <w:bookmarkEnd w:id="14"/>
    <w:bookmarkStart w:id="15" w:name="email-protocols"/>
    <w:p>
      <w:pPr>
        <w:pStyle w:val="Heading4"/>
      </w:pPr>
      <w:r>
        <w:t xml:space="preserve">1.4 Email Protocols</w:t>
      </w:r>
    </w:p>
    <w:p>
      <w:pPr>
        <w:pStyle w:val="FirstParagraph"/>
      </w:pPr>
      <w:r>
        <w:t xml:space="preserve">All emails containing PHI shall be encrypted in accordance with</w:t>
      </w:r>
      <w:r>
        <w:t xml:space="preserve"> </w:t>
      </w:r>
      <w:hyperlink r:id="rId9">
        <w:r>
          <w:rPr>
            <w:rStyle w:val="Hyperlink"/>
          </w:rPr>
          <w:t xml:space="preserve">technical-safeguards.md</w:t>
        </w:r>
      </w:hyperlink>
      <w:r>
        <w:t xml:space="preserve">. In addition, personnel must comply with the following:</w:t>
      </w:r>
    </w:p>
    <w:p>
      <w:pPr>
        <w:pStyle w:val="Compact"/>
        <w:numPr>
          <w:ilvl w:val="0"/>
          <w:numId w:val="1004"/>
        </w:numPr>
      </w:pPr>
      <w:r>
        <w:t xml:space="preserve">Emails will be reviewed to confirm that they are addressed to the correct recipient prior to sending.</w:t>
      </w:r>
    </w:p>
    <w:p>
      <w:pPr>
        <w:pStyle w:val="Compact"/>
        <w:numPr>
          <w:ilvl w:val="0"/>
          <w:numId w:val="1004"/>
        </w:numPr>
      </w:pPr>
      <w:r>
        <w:t xml:space="preserve">The sender’s full contact information will be included on the email.</w:t>
      </w:r>
    </w:p>
    <w:p>
      <w:pPr>
        <w:pStyle w:val="Compact"/>
        <w:numPr>
          <w:ilvl w:val="0"/>
          <w:numId w:val="1004"/>
        </w:numPr>
      </w:pPr>
      <w:r>
        <w:t xml:space="preserve">Where practical, the email will be labeled</w:t>
      </w:r>
      <w:r>
        <w:t xml:space="preserve"> </w:t>
      </w:r>
      <w:r>
        <w:t xml:space="preserve">“Confidential.”</w:t>
      </w:r>
    </w:p>
    <w:p>
      <w:pPr>
        <w:pStyle w:val="Compact"/>
        <w:numPr>
          <w:ilvl w:val="0"/>
          <w:numId w:val="1004"/>
        </w:numPr>
      </w:pPr>
      <w:r>
        <w:t xml:space="preserve">PHI shall not be included in the subject line of the email.</w:t>
      </w:r>
    </w:p>
    <w:p>
      <w:pPr>
        <w:pStyle w:val="Compact"/>
        <w:numPr>
          <w:ilvl w:val="0"/>
          <w:numId w:val="1004"/>
        </w:numPr>
      </w:pPr>
      <w:r>
        <w:t xml:space="preserve">Emails must contain the minimum amount of PHI necessary.</w:t>
      </w:r>
    </w:p>
    <w:p>
      <w:pPr>
        <w:pStyle w:val="Compact"/>
        <w:numPr>
          <w:ilvl w:val="0"/>
          <w:numId w:val="1004"/>
        </w:numPr>
      </w:pPr>
      <w:r>
        <w:t xml:space="preserve">Social security numbers, credit card information, and drivers’ license numbers may never be sent via email.</w:t>
      </w:r>
    </w:p>
    <w:bookmarkEnd w:id="15"/>
    <w:bookmarkStart w:id="16" w:name="texting"/>
    <w:p>
      <w:pPr>
        <w:pStyle w:val="Heading4"/>
      </w:pPr>
      <w:r>
        <w:t xml:space="preserve">1.5 Texting</w:t>
      </w:r>
    </w:p>
    <w:p>
      <w:pPr>
        <w:pStyle w:val="FirstParagraph"/>
      </w:pPr>
      <w:r>
        <w:t xml:space="preserve">PHI may be communicated via text message only if text messages are sent using an approved Company application and only among personnel. Company personnel are not permitted to communicate PHI via text message to patients or their respective family members. Company may not receive physician orders via text message.</w:t>
      </w:r>
    </w:p>
    <w:bookmarkEnd w:id="16"/>
    <w:bookmarkStart w:id="17" w:name="social-media"/>
    <w:p>
      <w:pPr>
        <w:pStyle w:val="Heading4"/>
      </w:pPr>
      <w:r>
        <w:t xml:space="preserve">1.6 Social Media</w:t>
      </w:r>
    </w:p>
    <w:p>
      <w:pPr>
        <w:pStyle w:val="FirstParagraph"/>
      </w:pPr>
      <w:r>
        <w:t xml:space="preserve">PHI shall not be posted on social media websites such as Facebook, Instagram, X (Twitter), TikTok, LinkedIn, or any comparable platform. Personnel will be educated that not including a patient’s name does not mean that the patient is not identifiable; combinations of clinical detail, dates, photographs, location, and operational context can re-identify a patient. When in doubt, personnel must consult the Privacy Officer before posting any content that references Company’s clinical services.</w:t>
      </w:r>
    </w:p>
    <w:bookmarkEnd w:id="17"/>
    <w:bookmarkStart w:id="18" w:name="disposal-of-phi-general-principle"/>
    <w:p>
      <w:pPr>
        <w:pStyle w:val="Heading4"/>
      </w:pPr>
      <w:r>
        <w:t xml:space="preserve">1.7 Disposal of PHI (general principle)</w:t>
      </w:r>
    </w:p>
    <w:p>
      <w:pPr>
        <w:pStyle w:val="FirstParagraph"/>
      </w:pPr>
      <w:r>
        <w:t xml:space="preserve">PHI will be disposed of in a manner that makes it unreadable, indecipherable, and incapable of being reconstructed. Paper records will be shredded at designated cross-cut shredding stations or via a contracted shredding vendor (see §3 below). CDs, hard drives, and other electronic media will be sanitized or destroyed before disposal in accordance with</w:t>
      </w:r>
      <w:r>
        <w:t xml:space="preserve"> </w:t>
      </w:r>
      <w:hyperlink r:id="rId9">
        <w:r>
          <w:rPr>
            <w:rStyle w:val="Hyperlink"/>
          </w:rPr>
          <w:t xml:space="preserve">technical-safeguards.md</w:t>
        </w:r>
      </w:hyperlink>
      <w:r>
        <w:t xml:space="preserve">. Electronic PHI (</w:t>
      </w:r>
      <w:r>
        <w:t xml:space="preserve">“ePHI”</w:t>
      </w:r>
      <w:r>
        <w:t xml:space="preserve">) must be deleted from information systems when there is no longer a business or clinical need to access it.</w:t>
      </w:r>
    </w:p>
    <w:bookmarkEnd w:id="18"/>
    <w:bookmarkEnd w:id="19"/>
    <w:bookmarkStart w:id="23" w:name="physical-safeguards-originally-it-008"/>
    <w:p>
      <w:pPr>
        <w:pStyle w:val="Heading3"/>
      </w:pPr>
      <w:r>
        <w:t xml:space="preserve">2. Physical Safeguards (originally IT-008)</w:t>
      </w:r>
    </w:p>
    <w:bookmarkStart w:id="20" w:name="X81ea73b097336d3fac341227a86477a53977bf6"/>
    <w:p>
      <w:pPr>
        <w:pStyle w:val="Heading4"/>
      </w:pPr>
      <w:r>
        <w:t xml:space="preserve">2.1 Facility Security Plan and Access Controls</w:t>
      </w:r>
    </w:p>
    <w:p>
      <w:pPr>
        <w:pStyle w:val="Compact"/>
        <w:numPr>
          <w:ilvl w:val="0"/>
          <w:numId w:val="1005"/>
        </w:numPr>
      </w:pPr>
      <w:r>
        <w:t xml:space="preserve">Hardware, network connections, software, data, and other files will, to the extent possible, be stored away from natural physical hazards (water, cooling, or heating pipes, vents and ducts, visible signs of environmental damage, direct sunlight, extreme cold).</w:t>
      </w:r>
    </w:p>
    <w:p>
      <w:pPr>
        <w:pStyle w:val="Compact"/>
        <w:numPr>
          <w:ilvl w:val="0"/>
          <w:numId w:val="1005"/>
        </w:numPr>
      </w:pPr>
      <w:r>
        <w:t xml:space="preserve">Electrical circuits will not be overloaded; power strips must be used individually (not chained); frayed or defective cords are taken out of service promptly.</w:t>
      </w:r>
    </w:p>
    <w:p>
      <w:pPr>
        <w:pStyle w:val="Compact"/>
        <w:numPr>
          <w:ilvl w:val="0"/>
          <w:numId w:val="1005"/>
        </w:numPr>
      </w:pPr>
      <w:r>
        <w:t xml:space="preserve">PHI will be securely stored in locked drawers, file cabinets, offices, or office suites when the work area is unattended, and shall not be left unattended in public or open areas such as conference or meeting rooms.</w:t>
      </w:r>
    </w:p>
    <w:p>
      <w:pPr>
        <w:pStyle w:val="Compact"/>
        <w:numPr>
          <w:ilvl w:val="0"/>
          <w:numId w:val="1005"/>
        </w:numPr>
      </w:pPr>
      <w:r>
        <w:t xml:space="preserve">Only a patient’s first name and last initial (or vice versa) may be posted on boards viewable to the public.</w:t>
      </w:r>
    </w:p>
    <w:p>
      <w:pPr>
        <w:pStyle w:val="Compact"/>
        <w:numPr>
          <w:ilvl w:val="0"/>
          <w:numId w:val="1005"/>
        </w:numPr>
      </w:pPr>
      <w:r>
        <w:t xml:space="preserve">When PHI is placed in a bin or mailbox outside a non-public area, the record will be positioned so that the PHI is not exposed.</w:t>
      </w:r>
    </w:p>
    <w:bookmarkEnd w:id="20"/>
    <w:bookmarkStart w:id="21" w:name="X73a22cfdfd464be566c731fec79bf83825512bf"/>
    <w:p>
      <w:pPr>
        <w:pStyle w:val="Heading4"/>
      </w:pPr>
      <w:r>
        <w:t xml:space="preserve">2.2 Workstation Security (policy-level statement)</w:t>
      </w:r>
    </w:p>
    <w:p>
      <w:pPr>
        <w:pStyle w:val="FirstParagraph"/>
      </w:pPr>
      <w:r>
        <w:t xml:space="preserve">Workstations must be locked or turned off when unattended for more than a few minutes, and personnel must exercise prudence to maintain the security of information accessible from their Workstations. Workstations include fixed devices such as terminals as well as laptops, tablets, and other portable devices. Technical controls that implement this requirement — automatic lock timers, password-protected screen savers, and configuration baselines — are specified in</w:t>
      </w:r>
      <w:r>
        <w:t xml:space="preserve"> </w:t>
      </w:r>
      <w:hyperlink r:id="rId9">
        <w:r>
          <w:rPr>
            <w:rStyle w:val="Hyperlink"/>
          </w:rPr>
          <w:t xml:space="preserve">technical-safeguards.md</w:t>
        </w:r>
      </w:hyperlink>
      <w:r>
        <w:t xml:space="preserve">.</w:t>
      </w:r>
    </w:p>
    <w:bookmarkEnd w:id="21"/>
    <w:bookmarkStart w:id="22" w:name="visitor-management"/>
    <w:p>
      <w:pPr>
        <w:pStyle w:val="Heading4"/>
      </w:pPr>
      <w:r>
        <w:t xml:space="preserve">2.3 Visitor Management</w:t>
      </w:r>
    </w:p>
    <w:p>
      <w:pPr>
        <w:pStyle w:val="FirstParagraph"/>
      </w:pPr>
      <w:r>
        <w:t xml:space="preserve">Personnel will take reasonable steps to ensure that visitors do not obtain unauthorized access. Personnel must question visitors who appear to be where they should not be and report any unauthorized access to the Security Officer. Any person performing physical work on the premises (e.g., repair of equipment or utilities) must show identification before entering Company space. All personnel must wear or carry their Company-issued ID while on Company premises.</w:t>
      </w:r>
    </w:p>
    <w:bookmarkEnd w:id="22"/>
    <w:bookmarkEnd w:id="23"/>
    <w:bookmarkStart w:id="29" w:name="X52940ee7311a73d6a287fe02a3bfd4c9e904f2c"/>
    <w:p>
      <w:pPr>
        <w:pStyle w:val="Heading3"/>
      </w:pPr>
      <w:r>
        <w:t xml:space="preserve">3. Paper Document Management (originally L-011)</w:t>
      </w:r>
    </w:p>
    <w:p>
      <w:pPr>
        <w:pStyle w:val="FirstParagraph"/>
      </w:pPr>
      <w:r>
        <w:t xml:space="preserve">This section applies to the manner in which all paper documents containing PHI (</w:t>
      </w:r>
      <w:r>
        <w:t xml:space="preserve">“Protected Documents”</w:t>
      </w:r>
      <w:r>
        <w:t xml:space="preserve">) are handled, stored, transported, and destroyed. If any document contains both PHI and other information, or if a personnel member is uncertain whether a document contains PHI, the document must be treated as though it contains PHI. As a baseline matter, PHI should not be printed or maintained in paper format unless a clinical or operational need requires it.</w:t>
      </w:r>
    </w:p>
    <w:bookmarkStart w:id="24" w:name="handling"/>
    <w:p>
      <w:pPr>
        <w:pStyle w:val="Heading4"/>
      </w:pPr>
      <w:r>
        <w:t xml:space="preserve">3.1 Handling</w:t>
      </w:r>
    </w:p>
    <w:p>
      <w:pPr>
        <w:pStyle w:val="Compact"/>
        <w:numPr>
          <w:ilvl w:val="0"/>
          <w:numId w:val="1006"/>
        </w:numPr>
      </w:pPr>
      <w:r>
        <w:t xml:space="preserve">Protected Documents may not be left unattended in any area to which the public may have access.</w:t>
      </w:r>
    </w:p>
    <w:p>
      <w:pPr>
        <w:pStyle w:val="Compact"/>
        <w:numPr>
          <w:ilvl w:val="0"/>
          <w:numId w:val="1006"/>
        </w:numPr>
      </w:pPr>
      <w:r>
        <w:t xml:space="preserve">All Protected Documents must be placed in folders, drawers, or face down on desks and workspaces when personnel are not actively working on them. At the end of each workday, all Protected Documents must be cleared from personnel’s desks and placed in a locked file cabinet or office if available (clean-desk standard).</w:t>
      </w:r>
    </w:p>
    <w:p>
      <w:pPr>
        <w:pStyle w:val="Compact"/>
        <w:numPr>
          <w:ilvl w:val="0"/>
          <w:numId w:val="1006"/>
        </w:numPr>
      </w:pPr>
      <w:r>
        <w:t xml:space="preserve">Personnel must promptly retrieve Protected Documents from printers, copiers, and fax machines.</w:t>
      </w:r>
    </w:p>
    <w:p>
      <w:pPr>
        <w:pStyle w:val="Compact"/>
        <w:numPr>
          <w:ilvl w:val="0"/>
          <w:numId w:val="1006"/>
        </w:numPr>
      </w:pPr>
      <w:r>
        <w:t xml:space="preserve">Prior to gaining access to Protected Documents, all personnel must receive training on the use and disclosure of PHI (see §IV).</w:t>
      </w:r>
    </w:p>
    <w:bookmarkEnd w:id="24"/>
    <w:bookmarkStart w:id="25" w:name="storage-locked-when-unattended"/>
    <w:p>
      <w:pPr>
        <w:pStyle w:val="Heading4"/>
      </w:pPr>
      <w:r>
        <w:t xml:space="preserve">3.2 Storage (locked when unattended)</w:t>
      </w:r>
    </w:p>
    <w:p>
      <w:pPr>
        <w:pStyle w:val="FirstParagraph"/>
      </w:pPr>
      <w:r>
        <w:t xml:space="preserve">All Protected Documents that are maintained on-site outside of a personnel member’s office shall be stored in locked file cabinets or rooms that shall remain locked when not in use. Only authorized personnel shall have access to the keys or combinations to such cabinets and rooms.</w:t>
      </w:r>
    </w:p>
    <w:bookmarkEnd w:id="25"/>
    <w:bookmarkStart w:id="26" w:name="transport-including-mailing"/>
    <w:p>
      <w:pPr>
        <w:pStyle w:val="Heading4"/>
      </w:pPr>
      <w:r>
        <w:t xml:space="preserve">3.3 Transport (including mailing)</w:t>
      </w:r>
    </w:p>
    <w:p>
      <w:pPr>
        <w:pStyle w:val="FirstParagraph"/>
      </w:pPr>
      <w:r>
        <w:t xml:space="preserve">When mailing Protected Documents, personnel must take reasonable steps to confirm that they have the correct, up-to-date address. Protected Documents shall not be left unsealed in outgoing mail bins or trays. When transporting Protected Documents off-site, personnel must keep the documents in their immediate control or in a locked container; Protected Documents must not be left visible in a vehicle.</w:t>
      </w:r>
    </w:p>
    <w:bookmarkEnd w:id="26"/>
    <w:bookmarkStart w:id="27" w:name="destruction"/>
    <w:p>
      <w:pPr>
        <w:pStyle w:val="Heading4"/>
      </w:pPr>
      <w:r>
        <w:t xml:space="preserve">3.4 Destruction</w:t>
      </w:r>
    </w:p>
    <w:p>
      <w:pPr>
        <w:pStyle w:val="FirstParagraph"/>
      </w:pPr>
      <w:r>
        <w:t xml:space="preserve">Protected Documents that do not need to be retained shall be destroyed at the end of each workday. Protected Documents that have been stored by Company shall be destroyed by the Office Manager promptly when the retention period approved by Company has expired, provided the General Counsel has approved such destruction. Destruction of Protected Documents (including surplus or draft copies) shall occur only by cross-cut shredding, performed either on-site by authorized Company personnel or by a contracted off-site shredding vendor that has executed a Business Associate Agreement with Company and that provides an executed certificate of destruction for each pickup.</w:t>
      </w:r>
    </w:p>
    <w:bookmarkEnd w:id="27"/>
    <w:bookmarkStart w:id="28" w:name="logs"/>
    <w:p>
      <w:pPr>
        <w:pStyle w:val="Heading4"/>
      </w:pPr>
      <w:r>
        <w:t xml:space="preserve">3.5 Logs</w:t>
      </w:r>
    </w:p>
    <w:p>
      <w:pPr>
        <w:pStyle w:val="FirstParagraph"/>
      </w:pPr>
      <w:r>
        <w:t xml:space="preserve">Certificates of destruction issued by off-site shredding vendors shall be maintained by the Privacy Officer as the official destruction log. On-site shredding performed by Company personnel for routine end-of-day disposal does not require an individual log entry, but bulk destruction events (e.g., closing out a retention period) shall be recorded by the Office Manager with the date, document description, retention basis, and General Counsel approval.</w:t>
      </w:r>
    </w:p>
    <w:bookmarkEnd w:id="28"/>
    <w:bookmarkEnd w:id="29"/>
    <w:bookmarkStart w:id="38" w:name="contingency-planning-originally-it-003"/>
    <w:p>
      <w:pPr>
        <w:pStyle w:val="Heading3"/>
      </w:pPr>
      <w:r>
        <w:t xml:space="preserve">4. Contingency Planning (originally IT-003)</w:t>
      </w:r>
    </w:p>
    <w:bookmarkStart w:id="30" w:name="personnel-safety"/>
    <w:p>
      <w:pPr>
        <w:pStyle w:val="Heading4"/>
      </w:pPr>
      <w:r>
        <w:t xml:space="preserve">4.1 Personnel Safety</w:t>
      </w:r>
    </w:p>
    <w:p>
      <w:pPr>
        <w:pStyle w:val="FirstParagraph"/>
      </w:pPr>
      <w:r>
        <w:t xml:space="preserve">It is of the utmost importance to Company to prevent harm to its personnel. Personnel safety takes precedence over all other priorities, including the security of Company’s assets. In the event of an emergency or a disaster, all personnel shall comply with this Policy; provided, however, personnel may elect not to participate in the implementation of specific contingency plans if they have reason to believe that their participation might jeopardize their safety. Life-safety instructions issued by emergency responders override any provision of this Policy.</w:t>
      </w:r>
    </w:p>
    <w:bookmarkEnd w:id="30"/>
    <w:bookmarkStart w:id="31" w:name="data-and-software-backup"/>
    <w:p>
      <w:pPr>
        <w:pStyle w:val="Heading4"/>
      </w:pPr>
      <w:r>
        <w:t xml:space="preserve">4.2 Data and Software Backup</w:t>
      </w:r>
    </w:p>
    <w:p>
      <w:pPr>
        <w:pStyle w:val="FirstParagraph"/>
      </w:pPr>
      <w:r>
        <w:t xml:space="preserve">The Security Officer is responsible for ensuring that backup of all data residing on the IT System is performed consistently. Company shall make and retain copies of all supporting software applications and related documentation required to process such data. All backup copies of electronic data and software (including any updates) shall be stored in encrypted form in an off-site facility with fire and theft protection and environmental controls satisfactory to the Security Officer.</w:t>
      </w:r>
    </w:p>
    <w:p>
      <w:pPr>
        <w:pStyle w:val="BodyText"/>
      </w:pPr>
      <w:r>
        <w:t xml:space="preserve">Written detailed documentation describing backup procedures shall be maintained at Company’s Facility and at an off-site location at all times and shall be reviewed, and if necessary updated,</w:t>
      </w:r>
      <w:r>
        <w:t xml:space="preserve"> </w:t>
      </w:r>
      <w:r>
        <w:rPr>
          <w:b/>
          <w:bCs/>
        </w:rPr>
        <w:t xml:space="preserve">at least quarterly</w:t>
      </w:r>
      <w:r>
        <w:t xml:space="preserve">.</w:t>
      </w:r>
    </w:p>
    <w:bookmarkEnd w:id="31"/>
    <w:bookmarkStart w:id="32" w:name="it-system-inventory"/>
    <w:p>
      <w:pPr>
        <w:pStyle w:val="Heading4"/>
      </w:pPr>
      <w:r>
        <w:t xml:space="preserve">4.3 IT System Inventory</w:t>
      </w:r>
    </w:p>
    <w:p>
      <w:pPr>
        <w:pStyle w:val="FirstParagraph"/>
      </w:pPr>
      <w:r>
        <w:t xml:space="preserve">To confirm that Company has an accurate list of its critical IT System components in the event of an emergency, the Security Officer shall maintain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Security Officer.</w:t>
      </w:r>
    </w:p>
    <w:bookmarkEnd w:id="32"/>
    <w:bookmarkStart w:id="33" w:name="disaster-recovery-procedures"/>
    <w:p>
      <w:pPr>
        <w:pStyle w:val="Heading4"/>
      </w:pPr>
      <w:r>
        <w:t xml:space="preserve">4.4 Disaster Recovery Procedures</w:t>
      </w:r>
    </w:p>
    <w:p>
      <w:pPr>
        <w:pStyle w:val="FirstParagraph"/>
      </w:pPr>
      <w:r>
        <w:t xml:space="preserve">The Security Officer shall prepare and maintain a written Disaster Recovery (</w:t>
      </w:r>
      <w:r>
        <w:t xml:space="preserve">“DR”</w:t>
      </w:r>
      <w:r>
        <w:t xml:space="preserve">) plan to restore any loss of data, which must be approved by the Chief Executive Officer, and shall coordinate any support services necessary for disaster recovery with others in Company and with third-party service providers. The Security Officer shall maintain (i) a list of the names and telephone numbers of all third-party computer maintenance and support vendors and data storage facilities that currently provide, or will provide, services to Company in the event of a disaster (and, to the extent possible, alternative vendors), and (ii) a list of all non-technology service providers that may be required to assist in implementing the DR plan.</w:t>
      </w:r>
    </w:p>
    <w:p>
      <w:pPr>
        <w:pStyle w:val="BodyText"/>
      </w:pPr>
      <w:r>
        <w:t xml:space="preserve">Contracts with critical service providers shall contain business continuity clauses requiring uninterrupted services in the event of a disaster or other adverse event, and the Security Officer shall verify that the DR and business continuity policies of critical service providers are adequate. The Security Officer, together with the General Counsel, shall obtain appropriate insurance coverage to cover Company in the event of emergencies. Personnel shall not disclose to any third parties the terms of this Policy or the elements of any specific plans and procedures except as necessary to carry out this Policy.</w:t>
      </w:r>
    </w:p>
    <w:bookmarkEnd w:id="33"/>
    <w:bookmarkStart w:id="34" w:name="emergency-operations"/>
    <w:p>
      <w:pPr>
        <w:pStyle w:val="Heading4"/>
      </w:pPr>
      <w:r>
        <w:t xml:space="preserve">4.5 Emergency Operations</w:t>
      </w:r>
    </w:p>
    <w:p>
      <w:pPr>
        <w:pStyle w:val="FirstParagraph"/>
      </w:pPr>
      <w:r>
        <w:t xml:space="preserve">In the event that, as a result of an emergency, all or part of Company’s offices or facilities become unusable, this Policy and such other emergency plans as the Security Officer adopts shall be initiated.</w:t>
      </w:r>
      <w:r>
        <w:t xml:space="preserve"> </w:t>
      </w:r>
      <w:r>
        <w:rPr>
          <w:b/>
          <w:bCs/>
        </w:rPr>
        <w:t xml:space="preserve">Emergency Operations</w:t>
      </w:r>
      <w:r>
        <w:t xml:space="preserve"> </w:t>
      </w:r>
      <w:r>
        <w:t xml:space="preserve">means the procedures Company invokes to continue critical clinical and business functions when its primary facilities, systems, or staffing are degraded or unavailable. Emergency Operations always proceed under the personnel-safety priority stated in §4.1: life safety precedes asset protection.</w:t>
      </w:r>
    </w:p>
    <w:bookmarkEnd w:id="34"/>
    <w:bookmarkStart w:id="35" w:name="dr-testing-program"/>
    <w:p>
      <w:pPr>
        <w:pStyle w:val="Heading4"/>
      </w:pPr>
      <w:r>
        <w:t xml:space="preserve">4.6 DR Testing Program</w:t>
      </w:r>
    </w:p>
    <w:p>
      <w:pPr>
        <w:pStyle w:val="FirstParagraph"/>
      </w:pPr>
      <w:r>
        <w:t xml:space="preserve">An end-to-end disaster recovery exercise shall be conducted</w:t>
      </w:r>
      <w:r>
        <w:t xml:space="preserve"> </w:t>
      </w:r>
      <w:r>
        <w:rPr>
          <w:b/>
          <w:bCs/>
        </w:rPr>
        <w:t xml:space="preserve">at least annually</w:t>
      </w:r>
      <w:r>
        <w:t xml:space="preserve">. The last test date and results are recorded in the Risk Review Committee minutes. Backup restoration shall be tested in a non-production environment</w:t>
      </w:r>
      <w:r>
        <w:t xml:space="preserve"> </w:t>
      </w:r>
      <w:r>
        <w:rPr>
          <w:b/>
          <w:bCs/>
        </w:rPr>
        <w:t xml:space="preserve">at least monthly</w:t>
      </w:r>
      <w:r>
        <w:t xml:space="preserve"> </w:t>
      </w:r>
      <w:r>
        <w:t xml:space="preserve">to confirm that backup media is readable, that documented restore procedures execute successfully, and that the recovered data is intact. Findings from each test (including any restoration failures, RTO/RPO deviations, or documentation gaps) are tracked to remediation by the Security Officer and reviewed by the Risk Review Committee.</w:t>
      </w:r>
    </w:p>
    <w:bookmarkEnd w:id="35"/>
    <w:bookmarkStart w:id="36" w:name="Xd331bfaca4d2efd71261a9f3bb939ed0f946ebb"/>
    <w:p>
      <w:pPr>
        <w:pStyle w:val="Heading4"/>
      </w:pPr>
      <w:r>
        <w:t xml:space="preserve">4.7 Multi-Vendor Resiliency and Single-Vendor Risk Acceptance</w:t>
      </w:r>
    </w:p>
    <w:p>
      <w:pPr>
        <w:pStyle w:val="FirstParagraph"/>
      </w:pPr>
      <w:r>
        <w:t xml:space="preserve">Company maintains an inventory of critical vendor dependencies that support clinical operations, including but not limited to:</w:t>
      </w:r>
    </w:p>
    <w:p>
      <w:pPr>
        <w:pStyle w:val="Compact"/>
        <w:numPr>
          <w:ilvl w:val="0"/>
          <w:numId w:val="1007"/>
        </w:numPr>
      </w:pPr>
      <w:r>
        <w:rPr>
          <w:b/>
          <w:bCs/>
        </w:rPr>
        <w:t xml:space="preserve">Aptible</w:t>
      </w:r>
      <w:r>
        <w:t xml:space="preserve"> </w:t>
      </w:r>
      <w:r>
        <w:t xml:space="preserve">— managed platform hosting the production application and database environment.</w:t>
      </w:r>
    </w:p>
    <w:p>
      <w:pPr>
        <w:pStyle w:val="Compact"/>
        <w:numPr>
          <w:ilvl w:val="0"/>
          <w:numId w:val="1007"/>
        </w:numPr>
      </w:pPr>
      <w:r>
        <w:rPr>
          <w:b/>
          <w:bCs/>
        </w:rPr>
        <w:t xml:space="preserve">Amazon Web Services (AWS)</w:t>
      </w:r>
      <w:r>
        <w:t xml:space="preserve"> </w:t>
      </w:r>
      <w:r>
        <w:t xml:space="preserve">— underlying infrastructure for Aptible and for Company-managed services (S3, etc.).</w:t>
      </w:r>
    </w:p>
    <w:p>
      <w:pPr>
        <w:pStyle w:val="Compact"/>
        <w:numPr>
          <w:ilvl w:val="0"/>
          <w:numId w:val="1007"/>
        </w:numPr>
      </w:pPr>
      <w:r>
        <w:rPr>
          <w:b/>
          <w:bCs/>
        </w:rPr>
        <w:t xml:space="preserve">Cloudflare</w:t>
      </w:r>
      <w:r>
        <w:t xml:space="preserve"> </w:t>
      </w:r>
      <w:r>
        <w:t xml:space="preserve">— edge network, DNS, and WAF.</w:t>
      </w:r>
    </w:p>
    <w:p>
      <w:pPr>
        <w:pStyle w:val="FirstParagraph"/>
      </w:pPr>
      <w:r>
        <w:t xml:space="preserve">Company has evaluated multi-vendor redundancy for each of these dependencies and has formally</w:t>
      </w:r>
      <w:r>
        <w:t xml:space="preserve"> </w:t>
      </w:r>
      <w:r>
        <w:rPr>
          <w:b/>
          <w:bCs/>
        </w:rPr>
        <w:t xml:space="preserve">accepted the single-vendor risk</w:t>
      </w:r>
      <w:r>
        <w:t xml:space="preserve"> </w:t>
      </w:r>
      <w:r>
        <w:t xml:space="preserve">for each on the grounds that the cost, operational complexity, and security-surface expansion of running a fully redundant secondary provider exceed the residual risk reduction at Company’s current scale. This risk acceptance is reviewed annually by the Risk Review Committee and reconsidered upon any material change in Company’s patient volume, regulatory posture, or vendor health.</w:t>
      </w:r>
    </w:p>
    <w:p>
      <w:pPr>
        <w:pStyle w:val="BodyText"/>
      </w:pPr>
      <w:r>
        <w:t xml:space="preserve">Monitoring of the accepted risk consists of subscribing to vendor status pages and incident notifications, tracking vendor uptime against contractual SLAs at each Risk Review Committee meeting, and maintaining current vendor security attestations (SOC 2 Type II, HIPAA BAA) on file with the Security Officer.</w:t>
      </w:r>
    </w:p>
    <w:p>
      <w:pPr>
        <w:pStyle w:val="BodyText"/>
      </w:pPr>
      <w:r>
        <w:t xml:space="preserve">For each critical vendor, Company maintains documented</w:t>
      </w:r>
      <w:r>
        <w:t xml:space="preserve"> </w:t>
      </w:r>
      <w:r>
        <w:rPr>
          <w:b/>
          <w:bCs/>
        </w:rPr>
        <w:t xml:space="preserve">exit considerations</w:t>
      </w:r>
      <w:r>
        <w:t xml:space="preserve">: identification of comparable replacement vendors that could be evaluated if the current vendor became unsuitable, an estimate of the data-export and re-platforming effort required, and backup retention sufficient to seed a replacement environment from cold storage. This section addresses SIG K.30 (multi-vendor resiliency).</w:t>
      </w:r>
    </w:p>
    <w:bookmarkEnd w:id="36"/>
    <w:bookmarkStart w:id="37" w:name="pandemic-and-infectious-disease-plan"/>
    <w:p>
      <w:pPr>
        <w:pStyle w:val="Heading4"/>
      </w:pPr>
      <w:r>
        <w:t xml:space="preserve">4.8 Pandemic and Infectious Disease Plan</w:t>
      </w:r>
    </w:p>
    <w:p>
      <w:pPr>
        <w:pStyle w:val="FirstParagraph"/>
      </w:pPr>
      <w:r>
        <w:t xml:space="preserve">See</w:t>
      </w:r>
      <w:r>
        <w:t xml:space="preserve"> </w:t>
      </w:r>
      <w:r>
        <w:rPr>
          <w:b/>
          <w:bCs/>
        </w:rPr>
        <w:t xml:space="preserve">Appendix A</w:t>
      </w:r>
      <w:r>
        <w:t xml:space="preserve">. The Pandemic Plan is a standing appendix to this Policy and is activated by the Security Officer or the Chief Executive Officer upon the criteria set out in Appendix A §A.2.</w:t>
      </w:r>
    </w:p>
    <w:bookmarkEnd w:id="37"/>
    <w:bookmarkEnd w:id="38"/>
    <w:bookmarkEnd w:id="39"/>
    <w:bookmarkStart w:id="41" w:name="iv.-training-awareness"/>
    <w:p>
      <w:pPr>
        <w:pStyle w:val="Heading2"/>
      </w:pPr>
      <w:r>
        <w:t xml:space="preserve">IV. Training &amp; Awareness</w:t>
      </w:r>
    </w:p>
    <w:p>
      <w:pPr>
        <w:pStyle w:val="FirstParagraph"/>
      </w:pPr>
      <w:r>
        <w:t xml:space="preserve">All personnel shall receive training on this Policy at the time of employment or engagement, with annual updates thereafter, in accordance with the</w:t>
      </w:r>
      <w:r>
        <w:t xml:space="preserve"> </w:t>
      </w:r>
      <w:hyperlink r:id="rId40">
        <w:r>
          <w:rPr>
            <w:rStyle w:val="Hyperlink"/>
          </w:rPr>
          <w:t xml:space="preserve">governance-and-risk-management.md</w:t>
        </w:r>
      </w:hyperlink>
      <w:r>
        <w:t xml:space="preserve"> </w:t>
      </w:r>
      <w:r>
        <w:t xml:space="preserve">Training Program. Contingency-plan training includes a tabletop test at least annually for those in continuity roles.</w:t>
      </w:r>
    </w:p>
    <w:bookmarkEnd w:id="41"/>
    <w:bookmarkStart w:id="42" w:name="v.-sanctions"/>
    <w:p>
      <w:pPr>
        <w:pStyle w:val="Heading2"/>
      </w:pPr>
      <w:r>
        <w:t xml:space="preserve">V. Sanctions</w:t>
      </w:r>
    </w:p>
    <w:p>
      <w:pPr>
        <w:pStyle w:val="FirstParagraph"/>
      </w:pPr>
      <w:r>
        <w:t xml:space="preserve">Any personnel member who violates this Policy will be subject to disciplinary action, up to and including termination of employment or engagement, in accordance with Company HR policy. Severity is assessed based on intent and impact on PHI confidentiality, integrity, or availability. Sanctions are documented and tracked by the Privacy Officer.</w:t>
      </w:r>
    </w:p>
    <w:bookmarkEnd w:id="42"/>
    <w:bookmarkStart w:id="46" w:name="vi.-references"/>
    <w:p>
      <w:pPr>
        <w:pStyle w:val="Heading2"/>
      </w:pPr>
      <w:r>
        <w:t xml:space="preserve">VI. References</w:t>
      </w:r>
    </w:p>
    <w:p>
      <w:pPr>
        <w:pStyle w:val="Compact"/>
        <w:numPr>
          <w:ilvl w:val="0"/>
          <w:numId w:val="1008"/>
        </w:numPr>
      </w:pPr>
      <w:r>
        <w:t xml:space="preserve">45 C.F.R. § 164.308(a)(7) — Contingency Plan standard (Data Backup Plan, Disaster Recovery Plan, Emergency Mode Operation Plan, Testing &amp; Revision Procedures, Applications &amp; Data Criticality Analysis).</w:t>
      </w:r>
    </w:p>
    <w:p>
      <w:pPr>
        <w:pStyle w:val="Compact"/>
        <w:numPr>
          <w:ilvl w:val="0"/>
          <w:numId w:val="1008"/>
        </w:numPr>
      </w:pPr>
      <w:r>
        <w:t xml:space="preserve">45 C.F.R. § 164.310 — Physical Safeguards (Facility Access Controls, Workstation Use, Workstation Security, Device and Media Controls).</w:t>
      </w:r>
    </w:p>
    <w:p>
      <w:pPr>
        <w:pStyle w:val="Compact"/>
        <w:numPr>
          <w:ilvl w:val="0"/>
          <w:numId w:val="1008"/>
        </w:numPr>
      </w:pPr>
      <w:r>
        <w:t xml:space="preserve">45 C.F.R. § 164.316(b)(1) — Documentation requirements.</w:t>
      </w:r>
    </w:p>
    <w:p>
      <w:pPr>
        <w:pStyle w:val="Compact"/>
        <w:numPr>
          <w:ilvl w:val="0"/>
          <w:numId w:val="1008"/>
        </w:numPr>
      </w:pPr>
      <w:r>
        <w:t xml:space="preserve">45 C.F.R. § 164.530(c) — Administrative, technical, and physical safeguards (Privacy Rule).</w:t>
      </w:r>
    </w:p>
    <w:p>
      <w:pPr>
        <w:pStyle w:val="FirstParagraph"/>
      </w:pPr>
      <w:r>
        <w:t xml:space="preserve">Linked Millie policies:</w:t>
      </w:r>
    </w:p>
    <w:p>
      <w:pPr>
        <w:pStyle w:val="Compact"/>
        <w:numPr>
          <w:ilvl w:val="0"/>
          <w:numId w:val="1009"/>
        </w:numPr>
      </w:pPr>
      <w:hyperlink r:id="rId40">
        <w:r>
          <w:rPr>
            <w:rStyle w:val="Hyperlink"/>
          </w:rPr>
          <w:t xml:space="preserve">governance-and-risk-management.md</w:t>
        </w:r>
      </w:hyperlink>
      <w:r>
        <w:t xml:space="preserve"> </w:t>
      </w:r>
      <w:r>
        <w:t xml:space="preserve">— Training program, sanctions framework, Risk Review Committee charter.</w:t>
      </w:r>
    </w:p>
    <w:p>
      <w:pPr>
        <w:pStyle w:val="Compact"/>
        <w:numPr>
          <w:ilvl w:val="0"/>
          <w:numId w:val="1009"/>
        </w:numPr>
      </w:pPr>
      <w:hyperlink r:id="rId9">
        <w:r>
          <w:rPr>
            <w:rStyle w:val="Hyperlink"/>
          </w:rPr>
          <w:t xml:space="preserve">technical-safeguards.md</w:t>
        </w:r>
      </w:hyperlink>
      <w:r>
        <w:t xml:space="preserve"> </w:t>
      </w:r>
      <w:r>
        <w:t xml:space="preserve">— Encryption, passwords, workstation technical controls, remote access, media sanitization.</w:t>
      </w:r>
    </w:p>
    <w:p>
      <w:pPr>
        <w:pStyle w:val="Compact"/>
        <w:numPr>
          <w:ilvl w:val="0"/>
          <w:numId w:val="1009"/>
        </w:numPr>
      </w:pPr>
      <w:hyperlink r:id="rId43">
        <w:r>
          <w:rPr>
            <w:rStyle w:val="Hyperlink"/>
          </w:rPr>
          <w:t xml:space="preserve">vendor-and-business-associates.md</w:t>
        </w:r>
      </w:hyperlink>
      <w:r>
        <w:t xml:space="preserve"> </w:t>
      </w:r>
      <w:r>
        <w:t xml:space="preserve">— Business Associate Agreements (including for off-site shredding vendors).</w:t>
      </w:r>
    </w:p>
    <w:p>
      <w:pPr>
        <w:pStyle w:val="Compact"/>
        <w:numPr>
          <w:ilvl w:val="0"/>
          <w:numId w:val="1009"/>
        </w:numPr>
      </w:pPr>
      <w:hyperlink r:id="rId44">
        <w:r>
          <w:rPr>
            <w:rStyle w:val="Hyperlink"/>
          </w:rPr>
          <w:t xml:space="preserve">incident-and-breach-response.md</w:t>
        </w:r>
      </w:hyperlink>
      <w:r>
        <w:t xml:space="preserve"> </w:t>
      </w:r>
      <w:r>
        <w:t xml:space="preserve">— Reporting of misdirected faxes/emails or other suspected breaches.</w:t>
      </w:r>
    </w:p>
    <w:p>
      <w:pPr>
        <w:pStyle w:val="Compact"/>
        <w:numPr>
          <w:ilvl w:val="0"/>
          <w:numId w:val="1009"/>
        </w:numPr>
      </w:pPr>
      <w:hyperlink r:id="rId45">
        <w:r>
          <w:rPr>
            <w:rStyle w:val="Hyperlink"/>
          </w:rPr>
          <w:t xml:space="preserve">hipaa-definitions.md</w:t>
        </w:r>
      </w:hyperlink>
      <w:r>
        <w:t xml:space="preserve"> </w:t>
      </w:r>
      <w:r>
        <w:t xml:space="preserve">— Defined terms.</w:t>
      </w:r>
    </w:p>
    <w:bookmarkEnd w:id="46"/>
    <w:bookmarkStart w:id="47" w:name="vii.-definitions-used-in-this-policy"/>
    <w:p>
      <w:pPr>
        <w:pStyle w:val="Heading2"/>
      </w:pPr>
      <w:r>
        <w:t xml:space="preserve">VII. Definitions used in this Policy</w:t>
      </w:r>
    </w:p>
    <w:p>
      <w:pPr>
        <w:pStyle w:val="FirstParagraph"/>
      </w:pPr>
      <w:r>
        <w:t xml:space="preserve">Defined terms used in this Policy (e.g., PHI, ePHI, Workstation, IT System, Business Associate, Privacy Officer, Security Officer, Risk Review Committee) have the meanings set out in</w:t>
      </w:r>
      <w:r>
        <w:t xml:space="preserve"> </w:t>
      </w:r>
      <w:hyperlink r:id="rId45">
        <w:r>
          <w:rPr>
            <w:rStyle w:val="Hyperlink"/>
          </w:rPr>
          <w:t xml:space="preserve">hipaa-definitions.md</w:t>
        </w:r>
      </w:hyperlink>
      <w:r>
        <w:t xml:space="preserve">. Terms newly used or specific to this Policy:</w:t>
      </w:r>
    </w:p>
    <w:p>
      <w:pPr>
        <w:pStyle w:val="Compact"/>
        <w:numPr>
          <w:ilvl w:val="0"/>
          <w:numId w:val="1010"/>
        </w:numPr>
      </w:pPr>
      <w:r>
        <w:rPr>
          <w:b/>
          <w:bCs/>
        </w:rPr>
        <w:t xml:space="preserve">Emergency Operations</w:t>
      </w:r>
      <w:r>
        <w:t xml:space="preserve"> </w:t>
      </w:r>
      <w:r>
        <w:t xml:space="preserve">— The procedures Company invokes to continue critical clinical and business functions when its primary facilities, systems, or staffing are degraded or unavailable. Emergency Operations always proceed under the personnel-safety priority that life safety precedes asset protection.</w:t>
      </w:r>
    </w:p>
    <w:p>
      <w:pPr>
        <w:pStyle w:val="Compact"/>
        <w:numPr>
          <w:ilvl w:val="0"/>
          <w:numId w:val="1010"/>
        </w:numPr>
      </w:pPr>
      <w:r>
        <w:rPr>
          <w:b/>
          <w:bCs/>
        </w:rPr>
        <w:t xml:space="preserve">Protected Document</w:t>
      </w:r>
      <w:r>
        <w:t xml:space="preserve"> </w:t>
      </w:r>
      <w:r>
        <w:t xml:space="preserve">— Any paper document that contains PHI, or that the personnel member reasonably believes may contain PHI. Mixed documents are treated as Protected Documents.</w:t>
      </w:r>
    </w:p>
    <w:p>
      <w:pPr>
        <w:pStyle w:val="Compact"/>
        <w:numPr>
          <w:ilvl w:val="0"/>
          <w:numId w:val="1010"/>
        </w:numPr>
      </w:pPr>
      <w:r>
        <w:rPr>
          <w:b/>
          <w:bCs/>
        </w:rPr>
        <w:t xml:space="preserve">Disaster Recovery (DR) Plan</w:t>
      </w:r>
      <w:r>
        <w:t xml:space="preserve"> </w:t>
      </w:r>
      <w:r>
        <w:t xml:space="preserve">— The written plan, approved by the Chief Executive Officer, that describes how Company restores data, systems, and operations following a disruption.</w:t>
      </w:r>
    </w:p>
    <w:p>
      <w:pPr>
        <w:pStyle w:val="Compact"/>
        <w:numPr>
          <w:ilvl w:val="0"/>
          <w:numId w:val="1010"/>
        </w:numPr>
      </w:pPr>
      <w:r>
        <w:rPr>
          <w:b/>
          <w:bCs/>
        </w:rPr>
        <w:t xml:space="preserve">Pandemic Activation</w:t>
      </w:r>
      <w:r>
        <w:t xml:space="preserve"> </w:t>
      </w:r>
      <w:r>
        <w:t xml:space="preserve">— The Security Officer’s or CEO’s declaration that the criteria in Appendix A §A.2 are met and that pandemic measures are in effect.</w:t>
      </w:r>
    </w:p>
    <w:bookmarkEnd w:id="47"/>
    <w:bookmarkStart w:id="49"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Version</w:t>
            </w:r>
          </w:p>
        </w:tc>
        <w:tc>
          <w:tcPr/>
          <w:p>
            <w:pPr>
              <w:pStyle w:val="Compact"/>
            </w:pPr>
            <w:r>
              <w:t xml:space="preserve">Author</w:t>
            </w:r>
          </w:p>
        </w:tc>
        <w:tc>
          <w:tcPr/>
          <w:p>
            <w:pPr>
              <w:pStyle w:val="Compact"/>
            </w:pPr>
            <w:r>
              <w:t xml:space="preserve">Summary</w:t>
            </w:r>
          </w:p>
        </w:tc>
      </w:tr>
      <w:tr>
        <w:tc>
          <w:tcPr/>
          <w:p>
            <w:pPr>
              <w:pStyle w:val="Compact"/>
            </w:pPr>
            <w:r>
              <w:t xml:space="preserve">2022-05-02</w:t>
            </w:r>
          </w:p>
        </w:tc>
        <w:tc>
          <w:tcPr/>
          <w:p>
            <w:pPr>
              <w:pStyle w:val="Compact"/>
            </w:pPr>
            <w:r>
              <w:t xml:space="preserve">1.0</w:t>
            </w:r>
          </w:p>
        </w:tc>
        <w:tc>
          <w:tcPr/>
          <w:p>
            <w:pPr>
              <w:pStyle w:val="Compact"/>
            </w:pPr>
            <w:r>
              <w:t xml:space="preserve">Security Officer</w:t>
            </w:r>
          </w:p>
        </w:tc>
        <w:tc>
          <w:tcPr/>
          <w:p>
            <w:pPr>
              <w:pStyle w:val="Compact"/>
            </w:pPr>
            <w:r>
              <w:t xml:space="preserve">Initial issuance of source policies IT-008 (Safeguards), L-011 (Paper Documents), and IT-003 (Contingency Planning).</w:t>
            </w:r>
          </w:p>
        </w:tc>
      </w:tr>
      <w:tr>
        <w:tc>
          <w:tcPr/>
          <w:p>
            <w:pPr>
              <w:pStyle w:val="Compact"/>
            </w:pPr>
            <w:r>
              <w:t xml:space="preserve">2026-05-06</w:t>
            </w:r>
          </w:p>
        </w:tc>
        <w:tc>
          <w:tcPr/>
          <w:p>
            <w:pPr>
              <w:pStyle w:val="Compact"/>
            </w:pPr>
            <w:r>
              <w:t xml:space="preserve">1.1</w:t>
            </w:r>
          </w:p>
        </w:tc>
        <w:tc>
          <w:tcPr/>
          <w:p>
            <w:pPr>
              <w:pStyle w:val="Compact"/>
            </w:pPr>
            <w:r>
              <w:t xml:space="preserve">Security Officer</w:t>
            </w:r>
          </w:p>
        </w:tc>
        <w:tc>
          <w:tcPr/>
          <w:p>
            <w:pPr>
              <w:pStyle w:val="Compact"/>
            </w:pPr>
            <w:r>
              <w:t xml:space="preserve">Last revision of IT-003 (Contingency Planning) prior to consolidation.</w:t>
            </w:r>
          </w:p>
        </w:tc>
      </w:tr>
      <w:tr>
        <w:tc>
          <w:tcPr/>
          <w:p>
            <w:pPr>
              <w:pStyle w:val="Compact"/>
            </w:pPr>
            <w:r>
              <w:t xml:space="preserve">2026-05-24</w:t>
            </w:r>
          </w:p>
        </w:tc>
        <w:tc>
          <w:tcPr/>
          <w:p>
            <w:pPr>
              <w:pStyle w:val="Compact"/>
            </w:pPr>
            <w:r>
              <w:t xml:space="preserve">2.0</w:t>
            </w:r>
          </w:p>
        </w:tc>
        <w:tc>
          <w:tcPr/>
          <w:p>
            <w:pPr>
              <w:pStyle w:val="Compact"/>
            </w:pPr>
            <w:r>
              <w:t xml:space="preserve">Security Officer</w:t>
            </w:r>
          </w:p>
        </w:tc>
        <w:tc>
          <w:tcPr/>
          <w:p>
            <w:pPr>
              <w:pStyle w:val="Compact"/>
            </w:pPr>
            <w:r>
              <w:t xml:space="preserve">Consolidated IT-008 (administrative + physical only), L-011, and IT-003 into this Operational Safeguards policy. Added DR Testing Program (§4.6), Multi-Vendor Resiliency / Single-Vendor Risk Acceptance (§4.7), and Pandemic / Infectious Disease Plan (Appendix A) to address SIG K.2, K.4, and K.30. Technical-safeguards content from IT-008 migrated to</w:t>
            </w:r>
            <w:r>
              <w:t xml:space="preserve"> </w:t>
            </w:r>
            <w:hyperlink r:id="rId9">
              <w:r>
                <w:rPr>
                  <w:rStyle w:val="Hyperlink"/>
                </w:rPr>
                <w:t xml:space="preserve">technical-safeguards.md</w:t>
              </w:r>
            </w:hyperlink>
            <w:r>
              <w:t xml:space="preserve">. Off-site shredding vendor selection process shortened to a single sentence.</w:t>
            </w:r>
          </w:p>
        </w:tc>
      </w:tr>
      <w:tr>
        <w:tc>
          <w:tcPr/>
          <w:p>
            <w:pPr>
              <w:pStyle w:val="Compact"/>
            </w:pPr>
            <w:r>
              <w:t xml:space="preserve">2026-05-24</w:t>
            </w:r>
          </w:p>
        </w:tc>
        <w:tc>
          <w:tcPr/>
          <w:p>
            <w:pPr>
              <w:pStyle w:val="Compact"/>
            </w:pPr>
            <w:r>
              <w:t xml:space="preserve">2.1</w:t>
            </w:r>
          </w:p>
        </w:tc>
        <w:tc>
          <w:tcPr/>
          <w:p>
            <w:pPr>
              <w:pStyle w:val="Compact"/>
            </w:pPr>
            <w:r>
              <w:t xml:space="preserve">Privacy Officer + Security Officer</w:t>
            </w:r>
          </w:p>
        </w:tc>
        <w:tc>
          <w:tcPr/>
          <w:p>
            <w:pPr>
              <w:pStyle w:val="Compact"/>
            </w:pPr>
            <w:r>
              <w:t xml:space="preserve">Added Appendix A.9</w:t>
            </w:r>
            <w:r>
              <w:t xml:space="preserve"> </w:t>
            </w:r>
            <w:r>
              <w:t xml:space="preserve">“Active Implementation — COVID-19 Clinical Protocol”</w:t>
            </w:r>
            <w:r>
              <w:t xml:space="preserve"> </w:t>
            </w:r>
            <w:r>
              <w:t xml:space="preserve">sourced from</w:t>
            </w:r>
            <w:r>
              <w:t xml:space="preserve"> </w:t>
            </w:r>
            <w:r>
              <w:rPr>
                <w:rStyle w:val="VerbatimChar"/>
              </w:rPr>
              <w:t xml:space="preserve">Policy Docs/Millie Clinic COVID Policy.docx</w:t>
            </w:r>
            <w:r>
              <w:t xml:space="preserve"> </w:t>
            </w:r>
            <w:r>
              <w:t xml:space="preserve">(clinical prevention, patient isolation guidance per CDPH, exposure protocol). Staff Guidance subsection of source was a placeholder; gap tracked in</w:t>
            </w:r>
            <w:r>
              <w:t xml:space="preserve"> </w:t>
            </w:r>
            <w:hyperlink r:id="rId48">
              <w:r>
                <w:rPr>
                  <w:rStyle w:val="Hyperlink"/>
                </w:rPr>
                <w:t xml:space="preserve">TODO.md</w:t>
              </w:r>
            </w:hyperlink>
            <w:r>
              <w:t xml:space="preserve">.</w:t>
            </w:r>
          </w:p>
        </w:tc>
      </w:tr>
    </w:tbl>
    <w:p>
      <w:r>
        <w:pict>
          <v:rect style="width:0;height:1.5pt" o:hralign="center" o:hrstd="t" o:hr="t"/>
        </w:pict>
      </w:r>
    </w:p>
    <w:bookmarkEnd w:id="49"/>
    <w:bookmarkStart w:id="62" w:name="X24b29e909baba020e49723e4c060850b17ee805"/>
    <w:p>
      <w:pPr>
        <w:pStyle w:val="Heading2"/>
      </w:pPr>
      <w:r>
        <w:t xml:space="preserve">Appendix A — Pandemic / Infectious Disease Response Plan</w:t>
      </w:r>
    </w:p>
    <w:p>
      <w:pPr>
        <w:pStyle w:val="FirstParagraph"/>
      </w:pPr>
      <w:r>
        <w:t xml:space="preserve">This Appendix forms part of the Operational Safeguards Policy and addresses Company’s response to pandemic and infectious-disease events that disrupt normal clinical and business operations. It addresses SIG K.4 (pandemic plan).</w:t>
      </w:r>
    </w:p>
    <w:bookmarkStart w:id="50" w:name="a.1-purpose-and-scope"/>
    <w:p>
      <w:pPr>
        <w:pStyle w:val="Heading3"/>
      </w:pPr>
      <w:r>
        <w:t xml:space="preserve">A.1 Purpose and Scope</w:t>
      </w:r>
    </w:p>
    <w:p>
      <w:pPr>
        <w:pStyle w:val="FirstParagraph"/>
      </w:pPr>
      <w:r>
        <w:t xml:space="preserve">This Plan establishes how Company protects the health of its personnel and patients, continues delivery of essential clinical services, and maintains the confidentiality, integrity, and availability of PHI during a pandemic or other widespread infectious-disease event. It applies to all personnel and all Company facilities.</w:t>
      </w:r>
    </w:p>
    <w:bookmarkEnd w:id="50"/>
    <w:bookmarkStart w:id="51" w:name="a.2-activation-criteria"/>
    <w:p>
      <w:pPr>
        <w:pStyle w:val="Heading3"/>
      </w:pPr>
      <w:r>
        <w:t xml:space="preserve">A.2 Activation Criteria</w:t>
      </w:r>
    </w:p>
    <w:p>
      <w:pPr>
        <w:pStyle w:val="FirstParagraph"/>
      </w:pPr>
      <w:r>
        <w:t xml:space="preserve">The Security Officer or Chief Executive Officer may activate all or part of this Plan when one or more of the following occurs: (i) a federal, state, or local public-health emergency declaration affects a Company facility or a material portion of Company’s workforce; (ii) CDC guidance recommends non-pharmaceutical interventions (distancing, masking, closure) for Company’s operating areas; (iii) a material number of personnel are unable to report due to illness, quarantine, school or childcare closure, or transportation disruption such that normal staffing cannot be maintained; or (iv) an event-related surge in patient demand materially affects Company’s ability to provide scheduled services through usual channels. The activation, scope, and date are recorded in Risk Review Committee minutes.</w:t>
      </w:r>
    </w:p>
    <w:bookmarkEnd w:id="51"/>
    <w:bookmarkStart w:id="52" w:name="a.3-remote-work-activation"/>
    <w:p>
      <w:pPr>
        <w:pStyle w:val="Heading3"/>
      </w:pPr>
      <w:r>
        <w:t xml:space="preserve">A.3 Remote-Work Activation</w:t>
      </w:r>
    </w:p>
    <w:p>
      <w:pPr>
        <w:pStyle w:val="FirstParagraph"/>
      </w:pPr>
      <w:r>
        <w:t xml:space="preserve">Upon activation, the Security Officer may direct all or part of the workforce to work remotely. This includes identifying personnel whose roles can be performed remotely versus those requiring on-site presence (e.g., licensed clinicians delivering in-person care); confirming that remote personnel have a Company-issued device, network connectivity, and access to required applications per the remote-access provisions of</w:t>
      </w:r>
      <w:r>
        <w:t xml:space="preserve"> </w:t>
      </w:r>
      <w:hyperlink r:id="rId9">
        <w:r>
          <w:rPr>
            <w:rStyle w:val="Hyperlink"/>
          </w:rPr>
          <w:t xml:space="preserve">technical-safeguards.md</w:t>
        </w:r>
      </w:hyperlink>
      <w:r>
        <w:t xml:space="preserve">; reaffirming that all PHI safeguards in this Policy and in</w:t>
      </w:r>
      <w:r>
        <w:t xml:space="preserve"> </w:t>
      </w:r>
      <w:hyperlink r:id="rId9">
        <w:r>
          <w:rPr>
            <w:rStyle w:val="Hyperlink"/>
          </w:rPr>
          <w:t xml:space="preserve">technical-safeguards.md</w:t>
        </w:r>
      </w:hyperlink>
      <w:r>
        <w:t xml:space="preserve"> </w:t>
      </w:r>
      <w:r>
        <w:t xml:space="preserve">apply at remote work locations (locked workstations, private workspace, no unapproved networks, no printing of PHI in shared home environments, secure storage and transport of paper PHI); and confirming that only Company-approved, BAA-covered telehealth platforms may be used for clinical video encounters.</w:t>
      </w:r>
    </w:p>
    <w:bookmarkEnd w:id="52"/>
    <w:bookmarkStart w:id="53" w:name="a.4-staff-health-protocols"/>
    <w:p>
      <w:pPr>
        <w:pStyle w:val="Heading3"/>
      </w:pPr>
      <w:r>
        <w:t xml:space="preserve">A.4 Staff Health Protocols</w:t>
      </w:r>
    </w:p>
    <w:p>
      <w:pPr>
        <w:pStyle w:val="FirstParagraph"/>
      </w:pPr>
      <w:r>
        <w:t xml:space="preserve">During activation, Company requires symptomatic, exposed, or quarantined personnel not to report to Company facilities; follows current CDC and applicable state/local guidance for return-to-work clearance (including any required testing or isolation periods); provides personal protective equipment (</w:t>
      </w:r>
      <w:r>
        <w:t xml:space="preserve">“PPE”</w:t>
      </w:r>
      <w:r>
        <w:t xml:space="preserve">) and hygiene supplies in clinical spaces consistent with current guidance; and communicates updated protocols to personnel via the standard communication chain (§A.6), documenting the protocols in effect at each phase.</w:t>
      </w:r>
    </w:p>
    <w:bookmarkEnd w:id="53"/>
    <w:bookmarkStart w:id="54" w:name="X1bceee570b3027a410f65a1917b6714989a7a7c"/>
    <w:p>
      <w:pPr>
        <w:pStyle w:val="Heading3"/>
      </w:pPr>
      <w:r>
        <w:t xml:space="preserve">A.5 Supply Continuity (Clinical Supplies and Telehealth Fallback)</w:t>
      </w:r>
    </w:p>
    <w:p>
      <w:pPr>
        <w:pStyle w:val="FirstParagraph"/>
      </w:pPr>
      <w:r>
        <w:t xml:space="preserve">The Office Manager, in coordination with clinical leadership, maintains a minimum reserve of essential clinical supplies (e.g., PPE, point-of-care testing kits, common medications) sufficient to bridge anticipated supply-chain disruption, pre-qualifies alternative suppliers for each critical category, and escalates material shortfalls to the Chief Executive Officer. The Security Officer maintains readiness of the BAA-covered telehealth platform as a fallback channel for any patient visit that can be safely converted from in-person to virtual, confirms licensure and scope-of-practice requirements for telehealth in each state of operation, and where in-person care must continue, schedules patients to reduce density and time in shared spaces.</w:t>
      </w:r>
    </w:p>
    <w:bookmarkEnd w:id="54"/>
    <w:bookmarkStart w:id="56" w:name="a.6-communication-chain"/>
    <w:p>
      <w:pPr>
        <w:pStyle w:val="Heading3"/>
      </w:pPr>
      <w:r>
        <w:t xml:space="preserve">A.6 Communication Chain</w:t>
      </w:r>
    </w:p>
    <w:p>
      <w:pPr>
        <w:pStyle w:val="Compact"/>
        <w:numPr>
          <w:ilvl w:val="0"/>
          <w:numId w:val="1011"/>
        </w:numPr>
      </w:pPr>
      <w:r>
        <w:rPr>
          <w:b/>
          <w:bCs/>
        </w:rPr>
        <w:t xml:space="preserve">Executive to workforce:</w:t>
      </w:r>
      <w:r>
        <w:t xml:space="preserve"> </w:t>
      </w:r>
      <w:r>
        <w:t xml:space="preserve">the Chief Executive Officer or designee distributes status updates to all personnel via email and the workforce messaging platform (initial activation: daily; steady state: weekly).</w:t>
      </w:r>
    </w:p>
    <w:p>
      <w:pPr>
        <w:pStyle w:val="Compact"/>
        <w:numPr>
          <w:ilvl w:val="0"/>
          <w:numId w:val="1011"/>
        </w:numPr>
      </w:pPr>
      <w:r>
        <w:rPr>
          <w:b/>
          <w:bCs/>
        </w:rPr>
        <w:t xml:space="preserve">Workforce to executive:</w:t>
      </w:r>
      <w:r>
        <w:t xml:space="preserve"> </w:t>
      </w:r>
      <w:r>
        <w:t xml:space="preserve">personnel report symptoms, exposures, or inability to work to their manager, who escalates to the Security Officer and People Operations.</w:t>
      </w:r>
    </w:p>
    <w:p>
      <w:pPr>
        <w:pStyle w:val="Compact"/>
        <w:numPr>
          <w:ilvl w:val="0"/>
          <w:numId w:val="1011"/>
        </w:numPr>
      </w:pPr>
      <w:r>
        <w:rPr>
          <w:b/>
          <w:bCs/>
        </w:rPr>
        <w:t xml:space="preserve">Patients:</w:t>
      </w:r>
      <w:r>
        <w:t xml:space="preserve"> </w:t>
      </w:r>
      <w:r>
        <w:t xml:space="preserve">the Privacy Officer coordinates patient-facing notices regarding service changes consistent with</w:t>
      </w:r>
      <w:r>
        <w:t xml:space="preserve"> </w:t>
      </w:r>
      <w:hyperlink r:id="rId55">
        <w:r>
          <w:rPr>
            <w:rStyle w:val="Hyperlink"/>
          </w:rPr>
          <w:t xml:space="preserve">phi-use-and-disclosure.md</w:t>
        </w:r>
      </w:hyperlink>
      <w:r>
        <w:t xml:space="preserve">.</w:t>
      </w:r>
    </w:p>
    <w:p>
      <w:pPr>
        <w:pStyle w:val="Compact"/>
        <w:numPr>
          <w:ilvl w:val="0"/>
          <w:numId w:val="1011"/>
        </w:numPr>
      </w:pPr>
      <w:r>
        <w:rPr>
          <w:b/>
          <w:bCs/>
        </w:rPr>
        <w:t xml:space="preserve">Regulators, payors, and Business Associates:</w:t>
      </w:r>
      <w:r>
        <w:t xml:space="preserve"> </w:t>
      </w:r>
      <w:r>
        <w:t xml:space="preserve">the General Counsel coordinates required notices.</w:t>
      </w:r>
    </w:p>
    <w:p>
      <w:pPr>
        <w:pStyle w:val="Compact"/>
        <w:numPr>
          <w:ilvl w:val="0"/>
          <w:numId w:val="1011"/>
        </w:numPr>
      </w:pPr>
      <w:r>
        <w:rPr>
          <w:b/>
          <w:bCs/>
        </w:rPr>
        <w:t xml:space="preserve">Vendors:</w:t>
      </w:r>
      <w:r>
        <w:t xml:space="preserve"> </w:t>
      </w:r>
      <w:r>
        <w:t xml:space="preserve">the Security Officer notifies critical vendors of operational changes that affect service delivery or BAA obligations.</w:t>
      </w:r>
    </w:p>
    <w:p>
      <w:pPr>
        <w:pStyle w:val="FirstParagraph"/>
      </w:pPr>
      <w:r>
        <w:t xml:space="preserve">A current contact list is maintained by the Security Officer alongside the DR vendor list (§4.4).</w:t>
      </w:r>
    </w:p>
    <w:bookmarkEnd w:id="56"/>
    <w:bookmarkStart w:id="57" w:name="a.7-return-to-office-criteria"/>
    <w:p>
      <w:pPr>
        <w:pStyle w:val="Heading3"/>
      </w:pPr>
      <w:r>
        <w:t xml:space="preserve">A.7 Return-to-Office Criteria</w:t>
      </w:r>
    </w:p>
    <w:p>
      <w:pPr>
        <w:pStyle w:val="FirstParagraph"/>
      </w:pPr>
      <w:r>
        <w:t xml:space="preserve">The Security Officer or Chief Executive Officer may de-activate all or part of this Plan when the triggering public-health declaration is rescinded or expires, CDC guidance no longer recommends the interventions that drove activation, or workforce availability and patient demand have returned to a level at which normal operations can be resumed safely. Return-to-office is staged — critical clinical roles first, then other on-site roles — with continued accommodation for personnel who are at elevated risk or who remain subject to public-health orders. The de-activation date, scope, and a brief lessons-learned summary (which feeds the next annual DR exercise in §4.6) are recorded in Risk Review Committee minutes.</w:t>
      </w:r>
    </w:p>
    <w:bookmarkEnd w:id="57"/>
    <w:bookmarkStart w:id="58" w:name="a.8-documentation-and-review"/>
    <w:p>
      <w:pPr>
        <w:pStyle w:val="Heading3"/>
      </w:pPr>
      <w:r>
        <w:t xml:space="preserve">A.8 Documentation and Review</w:t>
      </w:r>
    </w:p>
    <w:p>
      <w:pPr>
        <w:pStyle w:val="FirstParagraph"/>
      </w:pPr>
      <w:r>
        <w:t xml:space="preserve">For each activation, the Security Officer maintains the activation memo, status updates distributed to personnel, and the lessons-learned summary at de-activation. This Appendix is reviewed at least annually as part of the regular review of the Contingency Plan.</w:t>
      </w:r>
    </w:p>
    <w:bookmarkEnd w:id="58"/>
    <w:bookmarkStart w:id="61" w:name="X3d8aa7b488ce7e8a1290b45fd77b54190b6fb8f"/>
    <w:p>
      <w:pPr>
        <w:pStyle w:val="Heading3"/>
      </w:pPr>
      <w:r>
        <w:t xml:space="preserve">A.9 Active Implementation — COVID-19 Clinical Protocol</w:t>
      </w:r>
    </w:p>
    <w:p>
      <w:pPr>
        <w:pStyle w:val="FirstParagraph"/>
      </w:pPr>
      <w:r>
        <w:t xml:space="preserve">The following protocol is the current active implementation of this Plan for COVID-19. It applies to all in-clinic operations and supersedes any conflicting prior guidance. Source:</w:t>
      </w:r>
      <w:r>
        <w:t xml:space="preserve"> </w:t>
      </w:r>
      <w:r>
        <w:rPr>
          <w:rStyle w:val="VerbatimChar"/>
        </w:rPr>
        <w:t xml:space="preserve">Policy Docs/Millie Clinic COVID Policy.docx</w:t>
      </w:r>
      <w:r>
        <w:t xml:space="preserve">. The Privacy Officer and clinical leadership review this Section at least annually against current CDC and CDPH guidance and update as that guidance evolves; material changes are recorded in the Revision history.</w:t>
      </w:r>
    </w:p>
    <w:p>
      <w:pPr>
        <w:pStyle w:val="BodyText"/>
      </w:pPr>
      <w:r>
        <w:rPr>
          <w:b/>
          <w:bCs/>
        </w:rPr>
        <w:t xml:space="preserve">A.9.1 General Prevention.</w:t>
      </w:r>
    </w:p>
    <w:p>
      <w:pPr>
        <w:pStyle w:val="Compact"/>
        <w:numPr>
          <w:ilvl w:val="0"/>
          <w:numId w:val="1012"/>
        </w:numPr>
      </w:pPr>
      <w:r>
        <w:t xml:space="preserve">All in-clinic staff are required to be COVID vaccinated (and boostered when appropriate).</w:t>
      </w:r>
    </w:p>
    <w:p>
      <w:pPr>
        <w:pStyle w:val="Compact"/>
        <w:numPr>
          <w:ilvl w:val="0"/>
          <w:numId w:val="1012"/>
        </w:numPr>
      </w:pPr>
      <w:r>
        <w:t xml:space="preserve">Masking is required in the clinic at all times, for staff and patients. The clinic distributes masks upon entry if needed.</w:t>
      </w:r>
    </w:p>
    <w:p>
      <w:pPr>
        <w:pStyle w:val="Compact"/>
        <w:numPr>
          <w:ilvl w:val="0"/>
          <w:numId w:val="1012"/>
        </w:numPr>
      </w:pPr>
      <w:r>
        <w:t xml:space="preserve">Cleaning and disinfection of clinic spaces is performed regularly per CDC guidelines.</w:t>
      </w:r>
    </w:p>
    <w:p>
      <w:pPr>
        <w:pStyle w:val="Compact"/>
        <w:numPr>
          <w:ilvl w:val="0"/>
          <w:numId w:val="1012"/>
        </w:numPr>
      </w:pPr>
      <w:r>
        <w:t xml:space="preserve">Personnel and patients maintain at least 6 feet of distance when possible.</w:t>
      </w:r>
    </w:p>
    <w:p>
      <w:pPr>
        <w:pStyle w:val="Compact"/>
        <w:numPr>
          <w:ilvl w:val="0"/>
          <w:numId w:val="1012"/>
        </w:numPr>
      </w:pPr>
      <w:r>
        <w:t xml:space="preserve">If a COVID-positive patient must be seen in person, the appointment should be scheduled when other patients are not in clinic — preferably at the end of the work day.</w:t>
      </w:r>
    </w:p>
    <w:p>
      <w:pPr>
        <w:pStyle w:val="FirstParagraph"/>
      </w:pPr>
      <w:r>
        <w:rPr>
          <w:b/>
          <w:bCs/>
        </w:rPr>
        <w:t xml:space="preserve">A.9.2 Patient Guidance — If COVID Positive</w:t>
      </w:r>
      <w:r>
        <w:t xml:space="preserve"> </w:t>
      </w:r>
      <w:r>
        <w:t xml:space="preserve">(per</w:t>
      </w:r>
      <w:r>
        <w:t xml:space="preserve"> </w:t>
      </w:r>
      <w:hyperlink r:id="rId59">
        <w:r>
          <w:rPr>
            <w:rStyle w:val="Hyperlink"/>
          </w:rPr>
          <w:t xml:space="preserve">CDPH Isolation and Quarantine Guidance</w:t>
        </w:r>
      </w:hyperlink>
      <w:r>
        <w:t xml:space="preserve">).</w:t>
      </w:r>
    </w:p>
    <w:p>
      <w:pPr>
        <w:pStyle w:val="BodyText"/>
      </w:pPr>
      <w:r>
        <w:t xml:space="preserve">The patient stays home for at least 5 days. All non-medically-necessary in-clinic appointments are rescheduled to after isolation has ended; virtual appointments may be scheduled during isolation. The clinician determines whether an appointment is medically necessary.</w:t>
      </w:r>
    </w:p>
    <w:p>
      <w:pPr>
        <w:pStyle w:val="BodyText"/>
      </w:pPr>
      <w:r>
        <w:t xml:space="preserve">Isolation can end after day 5 (with continued mask-wearing through day 10) if all of the following are true:</w:t>
      </w:r>
    </w:p>
    <w:p>
      <w:pPr>
        <w:pStyle w:val="Compact"/>
        <w:numPr>
          <w:ilvl w:val="0"/>
          <w:numId w:val="1013"/>
        </w:numPr>
      </w:pPr>
      <w:r>
        <w:t xml:space="preserve">the patient is asymptomatic or improving, AND</w:t>
      </w:r>
    </w:p>
    <w:p>
      <w:pPr>
        <w:pStyle w:val="Compact"/>
        <w:numPr>
          <w:ilvl w:val="0"/>
          <w:numId w:val="1013"/>
        </w:numPr>
      </w:pPr>
      <w:r>
        <w:t xml:space="preserve">a rapid antigen test collected on day 5 or later is negative, AND</w:t>
      </w:r>
    </w:p>
    <w:p>
      <w:pPr>
        <w:pStyle w:val="Compact"/>
        <w:numPr>
          <w:ilvl w:val="0"/>
          <w:numId w:val="1013"/>
        </w:numPr>
      </w:pPr>
      <w:r>
        <w:t xml:space="preserve">the patient has no fever.</w:t>
      </w:r>
    </w:p>
    <w:p>
      <w:pPr>
        <w:pStyle w:val="FirstParagraph"/>
      </w:pPr>
      <w:r>
        <w:t xml:space="preserve">If the patient is unable to test, or chooses not to test on or after day 5, and symptoms are gone or improving, isolation can end after day 10.</w:t>
      </w:r>
    </w:p>
    <w:p>
      <w:pPr>
        <w:pStyle w:val="BodyText"/>
      </w:pPr>
      <w:r>
        <w:rPr>
          <w:b/>
          <w:bCs/>
        </w:rPr>
        <w:t xml:space="preserve">Isolation day counting.</w:t>
      </w:r>
    </w:p>
    <w:p>
      <w:pPr>
        <w:pStyle w:val="Compact"/>
        <w:numPr>
          <w:ilvl w:val="0"/>
          <w:numId w:val="1014"/>
        </w:numPr>
      </w:pPr>
      <w:r>
        <w:rPr>
          <w:i/>
          <w:iCs/>
        </w:rPr>
        <w:t xml:space="preserve">If the patient had no symptoms:</w:t>
      </w:r>
      <w:r>
        <w:t xml:space="preserve"> </w:t>
      </w:r>
      <w:r>
        <w:t xml:space="preserve">Day 0 is the day the patient was tested (not the day they received the positive result). Day 1 is the first full day following the test. If the patient develops symptoms within 10 days of when they were tested, the clock restarts at Day 0 on the day of symptom onset.</w:t>
      </w:r>
    </w:p>
    <w:p>
      <w:pPr>
        <w:pStyle w:val="Compact"/>
        <w:numPr>
          <w:ilvl w:val="0"/>
          <w:numId w:val="1014"/>
        </w:numPr>
      </w:pPr>
      <w:r>
        <w:rPr>
          <w:i/>
          <w:iCs/>
        </w:rPr>
        <w:t xml:space="preserve">If the patient had symptoms:</w:t>
      </w:r>
      <w:r>
        <w:t xml:space="preserve"> </w:t>
      </w:r>
      <w:r>
        <w:t xml:space="preserve">Day 0 is the day of symptom onset, regardless of when they tested positive. Day 1 is the first full day after symptoms started.</w:t>
      </w:r>
    </w:p>
    <w:p>
      <w:pPr>
        <w:pStyle w:val="FirstParagraph"/>
      </w:pPr>
      <w:r>
        <w:rPr>
          <w:b/>
          <w:bCs/>
        </w:rPr>
        <w:t xml:space="preserve">A.9.3 Patient Guidance — If COVID Exposure or COVID Symptoms with Unknown Result.</w:t>
      </w:r>
    </w:p>
    <w:p>
      <w:pPr>
        <w:pStyle w:val="BodyText"/>
      </w:pPr>
      <w:r>
        <w:t xml:space="preserve">The patient takes a rapid antigen test at home, or a clinician orders a PCR test to the lab and awaits results.</w:t>
      </w:r>
    </w:p>
    <w:p>
      <w:pPr>
        <w:pStyle w:val="Compact"/>
        <w:numPr>
          <w:ilvl w:val="0"/>
          <w:numId w:val="1015"/>
        </w:numPr>
      </w:pPr>
      <w:r>
        <w:rPr>
          <w:b/>
          <w:bCs/>
        </w:rPr>
        <w:t xml:space="preserve">If negative</w:t>
      </w:r>
      <w:r>
        <w:t xml:space="preserve"> </w:t>
      </w:r>
      <w:r>
        <w:t xml:space="preserve">→ it is OK to schedule in-clinic appointments. The patient is required to wear an N95; the clinic provides one.</w:t>
      </w:r>
    </w:p>
    <w:p>
      <w:pPr>
        <w:pStyle w:val="Compact"/>
        <w:numPr>
          <w:ilvl w:val="0"/>
          <w:numId w:val="1015"/>
        </w:numPr>
      </w:pPr>
      <w:r>
        <w:rPr>
          <w:b/>
          <w:bCs/>
        </w:rPr>
        <w:t xml:space="preserve">If positive</w:t>
      </w:r>
      <w:r>
        <w:t xml:space="preserve"> </w:t>
      </w:r>
      <w:r>
        <w:t xml:space="preserve">→ follow §A.9.2 above. If the patient is asymptomatic, schedule a virtual appointment with a clinician within 72 hours. If symptomatic, schedule a virtual appointment within 24 hours.</w:t>
      </w:r>
    </w:p>
    <w:p>
      <w:pPr>
        <w:pStyle w:val="FirstParagraph"/>
      </w:pPr>
      <w:r>
        <w:rPr>
          <w:b/>
          <w:bCs/>
        </w:rPr>
        <w:t xml:space="preserve">A.9.4 Staff Guidance.</w:t>
      </w:r>
    </w:p>
    <w:p>
      <w:pPr>
        <w:pStyle w:val="BodyText"/>
      </w:pPr>
      <w:r>
        <w:t xml:space="preserve">Staff-facing operational protocols (return-to-work clearance, sick-leave coverage, PPE issuance, exposure-reporting workflow inside the clinic) are maintained jointly by the Practice Manager and the Privacy Officer. ⚠️</w:t>
      </w:r>
      <w:r>
        <w:t xml:space="preserve"> </w:t>
      </w:r>
      <w:r>
        <w:rPr>
          <w:b/>
          <w:bCs/>
        </w:rPr>
        <w:t xml:space="preserve">The source COVID policy contained a</w:t>
      </w:r>
      <w:r>
        <w:rPr>
          <w:b/>
          <w:bCs/>
        </w:rPr>
        <w:t xml:space="preserve"> </w:t>
      </w:r>
      <w:r>
        <w:rPr>
          <w:b/>
          <w:bCs/>
        </w:rPr>
        <w:t xml:space="preserve">“To Do…”</w:t>
      </w:r>
      <w:r>
        <w:rPr>
          <w:b/>
          <w:bCs/>
        </w:rPr>
        <w:t xml:space="preserve"> </w:t>
      </w:r>
      <w:r>
        <w:rPr>
          <w:b/>
          <w:bCs/>
        </w:rPr>
        <w:t xml:space="preserve">placeholder under</w:t>
      </w:r>
      <w:r>
        <w:rPr>
          <w:b/>
          <w:bCs/>
        </w:rPr>
        <w:t xml:space="preserve"> </w:t>
      </w:r>
      <w:r>
        <w:rPr>
          <w:b/>
          <w:bCs/>
        </w:rPr>
        <w:t xml:space="preserve">“Guidance for Staff”</w:t>
      </w:r>
      <w:r>
        <w:rPr>
          <w:b/>
          <w:bCs/>
        </w:rPr>
        <w:t xml:space="preserve"> </w:t>
      </w:r>
      <w:r>
        <w:rPr>
          <w:b/>
          <w:bCs/>
        </w:rPr>
        <w:t xml:space="preserve">that was never completed; that gap is tracked in</w:t>
      </w:r>
      <w:r>
        <w:rPr>
          <w:b/>
          <w:bCs/>
        </w:rPr>
        <w:t xml:space="preserve"> </w:t>
      </w:r>
      <w:hyperlink r:id="rId48">
        <w:r>
          <w:rPr>
            <w:rStyle w:val="Hyperlink"/>
            <w:b/>
            <w:bCs/>
          </w:rPr>
          <w:t xml:space="preserve">TODO.md</w:t>
        </w:r>
      </w:hyperlink>
      <w:r>
        <w:rPr>
          <w:b/>
          <w:bCs/>
        </w:rPr>
        <w:t xml:space="preserve"> </w:t>
      </w:r>
      <w:r>
        <w:rPr>
          <w:b/>
          <w:bCs/>
        </w:rPr>
        <w:t xml:space="preserve">and should be drafted with clinical leadership before the next annual review.</w:t>
      </w:r>
    </w:p>
    <w:p>
      <w:pPr>
        <w:pStyle w:val="BodyText"/>
      </w:pPr>
      <w:r>
        <w:rPr>
          <w:b/>
          <w:bCs/>
        </w:rPr>
        <w:t xml:space="preserve">A.9.5 Resources.</w:t>
      </w:r>
    </w:p>
    <w:p>
      <w:pPr>
        <w:pStyle w:val="Compact"/>
        <w:numPr>
          <w:ilvl w:val="0"/>
          <w:numId w:val="1016"/>
        </w:numPr>
      </w:pPr>
      <w:r>
        <w:t xml:space="preserve">CDC isolation guidance:</w:t>
      </w:r>
      <w:r>
        <w:t xml:space="preserve"> </w:t>
      </w:r>
      <w:hyperlink r:id="rId60">
        <w:r>
          <w:rPr>
            <w:rStyle w:val="Hyperlink"/>
          </w:rPr>
          <w:t xml:space="preserve">https://www.cdc.gov/coronavirus/2019-ncov/your-health/isolation.html</w:t>
        </w:r>
      </w:hyperlink>
    </w:p>
    <w:p>
      <w:pPr>
        <w:pStyle w:val="Compact"/>
        <w:numPr>
          <w:ilvl w:val="0"/>
          <w:numId w:val="1016"/>
        </w:numPr>
      </w:pPr>
      <w:r>
        <w:t xml:space="preserve">CDPH isolation and quarantine guidance:</w:t>
      </w:r>
      <w:r>
        <w:t xml:space="preserve"> </w:t>
      </w:r>
      <w:hyperlink r:id="rId59">
        <w:r>
          <w:rPr>
            <w:rStyle w:val="Hyperlink"/>
          </w:rPr>
          <w:t xml:space="preserve">https://www.cdph.ca.gov/Programs/CID/DCDC/Pages/COVID-19/Guidance-on-Isolation-and-Quarantine-for-COVID-19-Contact-Tracing.aspx</w:t>
        </w:r>
      </w:hyperlink>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TODO.docx" TargetMode="External" /><Relationship Type="http://schemas.openxmlformats.org/officeDocument/2006/relationships/hyperlink" Id="rId40" Target="governance-and-risk-management.docx" TargetMode="External" /><Relationship Type="http://schemas.openxmlformats.org/officeDocument/2006/relationships/hyperlink" Id="rId45" Target="hipaa-definitions.docx" TargetMode="External" /><Relationship Type="http://schemas.openxmlformats.org/officeDocument/2006/relationships/hyperlink" Id="rId60" Target="https://www.cdc.gov/coronavirus/2019-ncov/your-health/isolation.html" TargetMode="External" /><Relationship Type="http://schemas.openxmlformats.org/officeDocument/2006/relationships/hyperlink" Id="rId59" Target="https://www.cdph.ca.gov/Programs/CID/DCDC/Pages/COVID-19/Guidance-on-Isolation-and-Quarantine-for-COVID-19-Contact-Tracing.aspx" TargetMode="External" /><Relationship Type="http://schemas.openxmlformats.org/officeDocument/2006/relationships/hyperlink" Id="rId44" Target="incident-and-breach-response.docx" TargetMode="External" /><Relationship Type="http://schemas.openxmlformats.org/officeDocument/2006/relationships/hyperlink" Id="rId55" Target="phi-use-and-disclosure.docx" TargetMode="External" /><Relationship Type="http://schemas.openxmlformats.org/officeDocument/2006/relationships/hyperlink" Id="rId9" Target="technical-safeguards.docx" TargetMode="External" /><Relationship Type="http://schemas.openxmlformats.org/officeDocument/2006/relationships/hyperlink" Id="rId43"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48" Target="../TODO.docx" TargetMode="External" /><Relationship Type="http://schemas.openxmlformats.org/officeDocument/2006/relationships/hyperlink" Id="rId40" Target="governance-and-risk-management.docx" TargetMode="External" /><Relationship Type="http://schemas.openxmlformats.org/officeDocument/2006/relationships/hyperlink" Id="rId45" Target="hipaa-definitions.docx" TargetMode="External" /><Relationship Type="http://schemas.openxmlformats.org/officeDocument/2006/relationships/hyperlink" Id="rId60" Target="https://www.cdc.gov/coronavirus/2019-ncov/your-health/isolation.html" TargetMode="External" /><Relationship Type="http://schemas.openxmlformats.org/officeDocument/2006/relationships/hyperlink" Id="rId59" Target="https://www.cdph.ca.gov/Programs/CID/DCDC/Pages/COVID-19/Guidance-on-Isolation-and-Quarantine-for-COVID-19-Contact-Tracing.aspx" TargetMode="External" /><Relationship Type="http://schemas.openxmlformats.org/officeDocument/2006/relationships/hyperlink" Id="rId44" Target="incident-and-breach-response.docx" TargetMode="External" /><Relationship Type="http://schemas.openxmlformats.org/officeDocument/2006/relationships/hyperlink" Id="rId55" Target="phi-use-and-disclosure.docx" TargetMode="External" /><Relationship Type="http://schemas.openxmlformats.org/officeDocument/2006/relationships/hyperlink" Id="rId9" Target="technical-safeguards.docx" TargetMode="External" /><Relationship Type="http://schemas.openxmlformats.org/officeDocument/2006/relationships/hyperlink" Id="rId43"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operational-safeguards</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