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phi-use-and-disclosure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1" w:name="phi-use-disclosure-de-identification"/>
    <w:p>
      <w:pPr>
        <w:pStyle w:val="Heading1"/>
      </w:pPr>
      <w:r>
        <w:t xml:space="preserve">PHI Use, Disclosure &amp; De-Identification</w:t>
      </w:r>
    </w:p>
    <w:p>
      <w:pPr>
        <w:pStyle w:val="BlockText"/>
      </w:pPr>
      <w:r>
        <w:rPr>
          <w:b/>
          <w:bCs/>
        </w:rPr>
        <w:t xml:space="preserve">Sources.</w:t>
      </w:r>
      <w:r>
        <w:t xml:space="preserve"> </w:t>
      </w:r>
      <w:r>
        <w:t xml:space="preserve">Consolidated from:</w:t>
      </w:r>
      <w:r>
        <w:t xml:space="preserve"> </w:t>
      </w:r>
      <w:r>
        <w:rPr>
          <w:rStyle w:val="VerbatimChar"/>
        </w:rPr>
        <w:t xml:space="preserve">hipaa-phi-use-and-disclosure.md</w:t>
      </w:r>
      <w:r>
        <w:t xml:space="preserve"> </w:t>
      </w:r>
      <w:r>
        <w:t xml:space="preserve">(L-002),</w:t>
      </w:r>
      <w:r>
        <w:t xml:space="preserve"> </w:t>
      </w:r>
      <w:r>
        <w:rPr>
          <w:rStyle w:val="VerbatimChar"/>
        </w:rPr>
        <w:t xml:space="preserve">hipaa-minimum-necessary.md</w:t>
      </w:r>
      <w:r>
        <w:t xml:space="preserve"> </w:t>
      </w:r>
      <w:r>
        <w:t xml:space="preserve">(L-010),</w:t>
      </w:r>
      <w:r>
        <w:t xml:space="preserve"> </w:t>
      </w:r>
      <w:r>
        <w:rPr>
          <w:rStyle w:val="VerbatimChar"/>
        </w:rPr>
        <w:t xml:space="preserve">hipaa-de-identifying-phi.md</w:t>
      </w:r>
      <w:r>
        <w:t xml:space="preserve"> </w:t>
      </w:r>
      <w:r>
        <w:t xml:space="preserve">(L-005),</w:t>
      </w:r>
      <w:r>
        <w:t xml:space="preserve"> </w:t>
      </w:r>
      <w:r>
        <w:rPr>
          <w:rStyle w:val="VerbatimChar"/>
        </w:rPr>
        <w:t xml:space="preserve">hipaa-marketing.md</w:t>
      </w:r>
      <w:r>
        <w:t xml:space="preserve"> </w:t>
      </w:r>
      <w:r>
        <w:t xml:space="preserve">(L-006). Originals archived in</w:t>
      </w:r>
      <w:r>
        <w:t xml:space="preserve"> </w:t>
      </w:r>
      <w:r>
        <w:rPr>
          <w:rStyle w:val="VerbatimChar"/>
        </w:rPr>
        <w:t xml:space="preserve">New Policy Docs/_archive/</w:t>
      </w:r>
      <w:r>
        <w:t xml:space="preserve">.</w:t>
      </w:r>
    </w:p>
    <w:bookmarkStart w:id="9" w:name="i.-scope"/>
    <w:p>
      <w:pPr>
        <w:pStyle w:val="Heading2"/>
      </w:pPr>
      <w:r>
        <w:t xml:space="preserve">I. Scope</w:t>
      </w:r>
    </w:p>
    <w:p>
      <w:pPr>
        <w:pStyle w:val="FirstParagraph"/>
      </w:pPr>
      <w:r>
        <w:t xml:space="preserve">This Policy applies to all facilities and locations owned, operated, or managed by Millie, Inc. (</w:t>
      </w:r>
      <w:r>
        <w:t xml:space="preserve">“Company”</w:t>
      </w:r>
      <w:r>
        <w:t xml:space="preserve">) and all Company personnel. For purposes of this Policy, the term</w:t>
      </w:r>
      <w:r>
        <w:t xml:space="preserve"> </w:t>
      </w:r>
      <w:r>
        <w:t xml:space="preserve">“personnel”</w:t>
      </w:r>
      <w:r>
        <w:t xml:space="preserve"> </w:t>
      </w:r>
      <w:r>
        <w:t xml:space="preserve">includes all licensed professionals and staff who perform services on behalf of Company.</w:t>
      </w:r>
    </w:p>
    <w:bookmarkEnd w:id="9"/>
    <w:bookmarkStart w:id="10" w:name="ii.-policy"/>
    <w:p>
      <w:pPr>
        <w:pStyle w:val="Heading2"/>
      </w:pPr>
      <w:r>
        <w:t xml:space="preserve">II. Policy</w:t>
      </w:r>
    </w:p>
    <w:p>
      <w:pPr>
        <w:pStyle w:val="FirstParagraph"/>
      </w:pPr>
      <w:r>
        <w:t xml:space="preserve">In compliance with HIPAA, this Policy establishes the rules Company follows when using, disclosing, requesting, de-identifying, or marketing with Protected Health Information (</w:t>
      </w:r>
      <w:r>
        <w:t xml:space="preserve">“PHI”</w:t>
      </w:r>
      <w:r>
        <w:t xml:space="preserve">). Company takes reasonable steps to limit PHI to the minimum amount necessary to accomplish the intended purpose of any use, disclosure, or request (</w:t>
      </w:r>
      <w:r>
        <w:t xml:space="preserve">“Minimum Necessary Rule”</w:t>
      </w:r>
      <w:r>
        <w:t xml:space="preserve">), except for the limited cases described below. For the specific purposes described in Section III, Company may use or disclose PHI without first obtaining the Individual’s written authorization and without providing the Individual with an opportunity to object; many of these disclosures must still be included in Company’s accountings of disclosures. Where PHI can be de-identified or expressed as a Limited Data Set to accomplish the purpose, Company prefers that approach. All Marketing communications that use or disclose PHI require advance Privacy Officer review and, where applicable, written patient authorization. Personnel who are unsure whether a use, disclosure, or communication is permitted must consult the Privacy Officer</w:t>
      </w:r>
      <w:r>
        <w:t xml:space="preserve"> </w:t>
      </w:r>
      <w:r>
        <w:rPr>
          <w:b/>
          <w:bCs/>
        </w:rPr>
        <w:t xml:space="preserve">before</w:t>
      </w:r>
      <w:r>
        <w:t xml:space="preserve"> </w:t>
      </w:r>
      <w:r>
        <w:t xml:space="preserve">the use or disclosure occurs. Additional confidentiality protections under state and federal laws (e.g., HIV-related information, genetic information, alcohol/substance abuse records, mental health records) are not pre-empted by HIPAA and must be followed.</w:t>
      </w:r>
    </w:p>
    <w:bookmarkEnd w:id="10"/>
    <w:bookmarkStart w:id="41" w:name="iii.-procedure"/>
    <w:p>
      <w:pPr>
        <w:pStyle w:val="Heading2"/>
      </w:pPr>
      <w:r>
        <w:t xml:space="preserve">III. Procedure</w:t>
      </w:r>
    </w:p>
    <w:bookmarkStart w:id="19" w:name="minimum-necessary-rule-originally-l-010"/>
    <w:p>
      <w:pPr>
        <w:pStyle w:val="Heading3"/>
      </w:pPr>
      <w:r>
        <w:t xml:space="preserve">1. Minimum Necessary Rule (originally L-010)</w:t>
      </w:r>
    </w:p>
    <w:bookmarkStart w:id="11" w:name="general-requirement"/>
    <w:p>
      <w:pPr>
        <w:pStyle w:val="Heading4"/>
      </w:pPr>
      <w:r>
        <w:t xml:space="preserve">1.1 General requirement</w:t>
      </w:r>
    </w:p>
    <w:p>
      <w:pPr>
        <w:pStyle w:val="FirstParagraph"/>
      </w:pPr>
      <w:r>
        <w:t xml:space="preserve">When using, disclosing, or requesting PHI, Company personnel must take reasonable steps to limit the PHI to the minimum amount necessary to accomplish the intended purpose of the use, disclosure, or request. For example, if Company discloses PHI for the purpose of receiving payment for services rendered, the amount of PHI disclosed must be limited to the minimum amount necessary to receive payment.</w:t>
      </w:r>
    </w:p>
    <w:bookmarkEnd w:id="11"/>
    <w:bookmarkStart w:id="12" w:name="Xfd157cbf0792cb74dc709d6dfef556118f2a872"/>
    <w:p>
      <w:pPr>
        <w:pStyle w:val="Heading4"/>
      </w:pPr>
      <w:r>
        <w:t xml:space="preserve">1.2 Exceptions — Minimum Necessary does not apply</w:t>
      </w:r>
    </w:p>
    <w:p>
      <w:pPr>
        <w:pStyle w:val="FirstParagraph"/>
      </w:pPr>
      <w:r>
        <w:t xml:space="preserve">The Minimum Necessary Rule</w:t>
      </w:r>
      <w:r>
        <w:t xml:space="preserve"> </w:t>
      </w:r>
      <w:r>
        <w:rPr>
          <w:b/>
          <w:bCs/>
        </w:rPr>
        <w:t xml:space="preserve">does not</w:t>
      </w:r>
      <w:r>
        <w:t xml:space="preserve"> </w:t>
      </w:r>
      <w:r>
        <w:t xml:space="preserve">apply to:</w:t>
      </w:r>
    </w:p>
    <w:p>
      <w:pPr>
        <w:pStyle w:val="Compact"/>
        <w:numPr>
          <w:ilvl w:val="0"/>
          <w:numId w:val="1001"/>
        </w:numPr>
      </w:pPr>
      <w:r>
        <w:t xml:space="preserve">Disclosures of PHI to, or requests for PHI by, a health care provider for Treatment purposes;</w:t>
      </w:r>
    </w:p>
    <w:p>
      <w:pPr>
        <w:pStyle w:val="Compact"/>
        <w:numPr>
          <w:ilvl w:val="0"/>
          <w:numId w:val="1001"/>
        </w:numPr>
      </w:pPr>
      <w:r>
        <w:t xml:space="preserve">Uses of PHI for Treatment purposes;</w:t>
      </w:r>
    </w:p>
    <w:p>
      <w:pPr>
        <w:pStyle w:val="Compact"/>
        <w:numPr>
          <w:ilvl w:val="0"/>
          <w:numId w:val="1001"/>
        </w:numPr>
      </w:pPr>
      <w:r>
        <w:t xml:space="preserve">Disclosures to the Individual;</w:t>
      </w:r>
    </w:p>
    <w:p>
      <w:pPr>
        <w:pStyle w:val="Compact"/>
        <w:numPr>
          <w:ilvl w:val="0"/>
          <w:numId w:val="1001"/>
        </w:numPr>
      </w:pPr>
      <w:r>
        <w:t xml:space="preserve">Uses or disclosures made pursuant to an Individual’s authorization;</w:t>
      </w:r>
    </w:p>
    <w:p>
      <w:pPr>
        <w:pStyle w:val="Compact"/>
        <w:numPr>
          <w:ilvl w:val="0"/>
          <w:numId w:val="1001"/>
        </w:numPr>
      </w:pPr>
      <w:r>
        <w:t xml:space="preserve">Disclosures to the U.S. Department of Health &amp; Human Services (</w:t>
      </w:r>
      <w:r>
        <w:t xml:space="preserve">“HHS”</w:t>
      </w:r>
      <w:r>
        <w:t xml:space="preserve">) when disclosures of PHI are required under the Privacy Rule; or</w:t>
      </w:r>
    </w:p>
    <w:p>
      <w:pPr>
        <w:pStyle w:val="Compact"/>
        <w:numPr>
          <w:ilvl w:val="0"/>
          <w:numId w:val="1001"/>
        </w:numPr>
      </w:pPr>
      <w:r>
        <w:t xml:space="preserve">Uses or disclosures that are required by other laws.</w:t>
      </w:r>
    </w:p>
    <w:bookmarkEnd w:id="12"/>
    <w:bookmarkStart w:id="15" w:name="internal-access-need-to-know"/>
    <w:p>
      <w:pPr>
        <w:pStyle w:val="Heading4"/>
      </w:pPr>
      <w:r>
        <w:t xml:space="preserve">1.3 Internal access —</w:t>
      </w:r>
      <w:r>
        <w:t xml:space="preserve"> </w:t>
      </w:r>
      <w:r>
        <w:t xml:space="preserve">“need to know”</w:t>
      </w:r>
    </w:p>
    <w:p>
      <w:pPr>
        <w:pStyle w:val="FirstParagraph"/>
      </w:pPr>
      <w:r>
        <w:t xml:space="preserve">Company makes reasonable efforts to limit personnel access to only the PHI that personnel need to perform their job responsibilities. Only personnel with a</w:t>
      </w:r>
      <w:r>
        <w:t xml:space="preserve"> </w:t>
      </w:r>
      <w:r>
        <w:t xml:space="preserve">“need to know”</w:t>
      </w:r>
      <w:r>
        <w:t xml:space="preserve"> </w:t>
      </w:r>
      <w:r>
        <w:t xml:space="preserve">should have access to PHI. Role-based access controls are administered by the Security Officer in coordination with the Privacy Officer (see</w:t>
      </w:r>
      <w:r>
        <w:t xml:space="preserve"> </w:t>
      </w:r>
      <w:hyperlink r:id="rId13">
        <w:r>
          <w:rPr>
            <w:rStyle w:val="Hyperlink"/>
          </w:rPr>
          <w:t xml:space="preserve">technical-safeguards.md</w:t>
        </w:r>
      </w:hyperlink>
      <w:r>
        <w:t xml:space="preserve">).</w:t>
      </w:r>
    </w:p>
    <w:p>
      <w:pPr>
        <w:pStyle w:val="BodyText"/>
      </w:pPr>
      <w:r>
        <w:t xml:space="preserve">Personnel are specifically instructed that they</w:t>
      </w:r>
      <w:r>
        <w:t xml:space="preserve"> </w:t>
      </w:r>
      <w:r>
        <w:rPr>
          <w:b/>
          <w:bCs/>
        </w:rPr>
        <w:t xml:space="preserve">may not</w:t>
      </w:r>
      <w:r>
        <w:t xml:space="preserve">:</w:t>
      </w:r>
    </w:p>
    <w:p>
      <w:pPr>
        <w:pStyle w:val="Compact"/>
        <w:numPr>
          <w:ilvl w:val="0"/>
          <w:numId w:val="1002"/>
        </w:numPr>
      </w:pPr>
      <w:r>
        <w:t xml:space="preserve">Access information about themselves or their family members, friends, or co-workers.</w:t>
      </w:r>
    </w:p>
    <w:p>
      <w:pPr>
        <w:pStyle w:val="Compact"/>
        <w:numPr>
          <w:ilvl w:val="0"/>
          <w:numId w:val="1002"/>
        </w:numPr>
      </w:pPr>
      <w:r>
        <w:t xml:space="preserve">Access information about patients when they do not need that information to perform their jobs.</w:t>
      </w:r>
    </w:p>
    <w:p>
      <w:pPr>
        <w:pStyle w:val="Compact"/>
        <w:numPr>
          <w:ilvl w:val="0"/>
          <w:numId w:val="1002"/>
        </w:numPr>
      </w:pPr>
      <w:r>
        <w:t xml:space="preserve">Access information about celebrities or other famous people.</w:t>
      </w:r>
    </w:p>
    <w:p>
      <w:pPr>
        <w:pStyle w:val="Compact"/>
        <w:numPr>
          <w:ilvl w:val="0"/>
          <w:numId w:val="1002"/>
        </w:numPr>
      </w:pPr>
      <w:r>
        <w:t xml:space="preserve">Discuss with other personnel interesting cases or famous Individuals, unless there is a job-related reason for doing so.</w:t>
      </w:r>
    </w:p>
    <w:p>
      <w:pPr>
        <w:pStyle w:val="Compact"/>
        <w:numPr>
          <w:ilvl w:val="0"/>
          <w:numId w:val="1002"/>
        </w:numPr>
      </w:pPr>
      <w:r>
        <w:t xml:space="preserve">Discuss any Individual with family members or friends.</w:t>
      </w:r>
    </w:p>
    <w:p>
      <w:pPr>
        <w:pStyle w:val="Compact"/>
        <w:numPr>
          <w:ilvl w:val="0"/>
          <w:numId w:val="1002"/>
        </w:numPr>
      </w:pPr>
      <w:r>
        <w:t xml:space="preserve">Discuss Individuals in public areas, such as elevators, hallways, or the cafeteria.</w:t>
      </w:r>
    </w:p>
    <w:p>
      <w:pPr>
        <w:pStyle w:val="FirstParagraph"/>
      </w:pPr>
      <w:r>
        <w:t xml:space="preserve">Violations of this section are subject to the sanctions in Section V and to the Breach assessment process in</w:t>
      </w:r>
      <w:r>
        <w:t xml:space="preserve"> </w:t>
      </w:r>
      <w:hyperlink r:id="rId14">
        <w:r>
          <w:rPr>
            <w:rStyle w:val="Hyperlink"/>
          </w:rPr>
          <w:t xml:space="preserve">incident-and-breach-response.md</w:t>
        </w:r>
      </w:hyperlink>
      <w:r>
        <w:t xml:space="preserve">.</w:t>
      </w:r>
    </w:p>
    <w:bookmarkEnd w:id="15"/>
    <w:bookmarkStart w:id="16" w:name="X7b9981140e93f35ec50647b40344248309ac8bc"/>
    <w:p>
      <w:pPr>
        <w:pStyle w:val="Heading4"/>
      </w:pPr>
      <w:r>
        <w:t xml:space="preserve">1.4 Routine or recurring disclosures and requests</w:t>
      </w:r>
    </w:p>
    <w:p>
      <w:pPr>
        <w:pStyle w:val="FirstParagraph"/>
      </w:pPr>
      <w:r>
        <w:t xml:space="preserve">Company does not make a detailed case-by-case determination for each routine or recurring disclosure. Standing minimum-necessary protocols are documented for recurring categories (e.g., claims submission, payer audits). Company may reasonably rely on the assumption that a requested disclosure meets the Minimum Necessary Rule in the following circumstances:</w:t>
      </w:r>
    </w:p>
    <w:p>
      <w:pPr>
        <w:pStyle w:val="Compact"/>
        <w:numPr>
          <w:ilvl w:val="0"/>
          <w:numId w:val="1003"/>
        </w:numPr>
      </w:pPr>
      <w:r>
        <w:t xml:space="preserve">Requests from public officials acting in their official capacity;</w:t>
      </w:r>
    </w:p>
    <w:p>
      <w:pPr>
        <w:pStyle w:val="Compact"/>
        <w:numPr>
          <w:ilvl w:val="0"/>
          <w:numId w:val="1003"/>
        </w:numPr>
      </w:pPr>
      <w:r>
        <w:t xml:space="preserve">Requests from other covered entities;</w:t>
      </w:r>
    </w:p>
    <w:p>
      <w:pPr>
        <w:pStyle w:val="Compact"/>
        <w:numPr>
          <w:ilvl w:val="0"/>
          <w:numId w:val="1003"/>
        </w:numPr>
      </w:pPr>
      <w:r>
        <w:t xml:space="preserve">Requests from Business Associates that are consistent with the services the Business Associate provides; or</w:t>
      </w:r>
    </w:p>
    <w:p>
      <w:pPr>
        <w:pStyle w:val="Compact"/>
        <w:numPr>
          <w:ilvl w:val="0"/>
          <w:numId w:val="1003"/>
        </w:numPr>
      </w:pPr>
      <w:r>
        <w:t xml:space="preserve">Requests from researchers who have provided appropriate representations under 45 CFR §164.512(i).</w:t>
      </w:r>
    </w:p>
    <w:bookmarkEnd w:id="16"/>
    <w:bookmarkStart w:id="18" w:name="X684d16ed69ce81a4e12901215450dc75ab559c9"/>
    <w:p>
      <w:pPr>
        <w:pStyle w:val="Heading4"/>
      </w:pPr>
      <w:r>
        <w:t xml:space="preserve">1.5 Nonroutine or nonrecurring disclosures and requests</w:t>
      </w:r>
    </w:p>
    <w:p>
      <w:pPr>
        <w:pStyle w:val="FirstParagraph"/>
      </w:pPr>
      <w:r>
        <w:t xml:space="preserve">For nonroutine or nonrecurring disclosures of, or requests for, PHI, Company reviews each disclosure or request on a case-by-case basis. The Privacy Officer (or designee) evaluates each instance against the following criteria:</w:t>
      </w:r>
    </w:p>
    <w:p>
      <w:pPr>
        <w:pStyle w:val="Compact"/>
        <w:numPr>
          <w:ilvl w:val="0"/>
          <w:numId w:val="1004"/>
        </w:numPr>
      </w:pPr>
      <w:r>
        <w:t xml:space="preserve">The purpose of the disclosure or request;</w:t>
      </w:r>
    </w:p>
    <w:p>
      <w:pPr>
        <w:pStyle w:val="Compact"/>
        <w:numPr>
          <w:ilvl w:val="0"/>
          <w:numId w:val="1004"/>
        </w:numPr>
      </w:pPr>
      <w:r>
        <w:t xml:space="preserve">The type of PHI to be disclosed or requested (e.g., whether it unnecessarily includes particularly sensitive information such as a diagnosis or Social Security number);</w:t>
      </w:r>
    </w:p>
    <w:p>
      <w:pPr>
        <w:pStyle w:val="Compact"/>
        <w:numPr>
          <w:ilvl w:val="0"/>
          <w:numId w:val="1004"/>
        </w:numPr>
      </w:pPr>
      <w:r>
        <w:t xml:space="preserve">The minimum amount of PHI necessary to achieve the purpose;</w:t>
      </w:r>
    </w:p>
    <w:p>
      <w:pPr>
        <w:pStyle w:val="Compact"/>
        <w:numPr>
          <w:ilvl w:val="0"/>
          <w:numId w:val="1004"/>
        </w:numPr>
      </w:pPr>
      <w:r>
        <w:t xml:space="preserve">The amount of PHI actually requested for disclosure;</w:t>
      </w:r>
    </w:p>
    <w:p>
      <w:pPr>
        <w:pStyle w:val="Compact"/>
        <w:numPr>
          <w:ilvl w:val="0"/>
          <w:numId w:val="1004"/>
        </w:numPr>
      </w:pPr>
      <w:r>
        <w:t xml:space="preserve">The individuals or entities to whom the disclosure will be made;</w:t>
      </w:r>
    </w:p>
    <w:p>
      <w:pPr>
        <w:pStyle w:val="Compact"/>
        <w:numPr>
          <w:ilvl w:val="0"/>
          <w:numId w:val="1004"/>
        </w:numPr>
      </w:pPr>
      <w:r>
        <w:t xml:space="preserve">The time frame for the disclosure or request; and</w:t>
      </w:r>
    </w:p>
    <w:p>
      <w:pPr>
        <w:pStyle w:val="Compact"/>
        <w:numPr>
          <w:ilvl w:val="0"/>
          <w:numId w:val="1004"/>
        </w:numPr>
      </w:pPr>
      <w:r>
        <w:t xml:space="preserve">Any specific considerations, including state-law protections that exceed HIPAA.</w:t>
      </w:r>
    </w:p>
    <w:p>
      <w:pPr>
        <w:pStyle w:val="FirstParagraph"/>
      </w:pPr>
      <w:r>
        <w:t xml:space="preserve">The Privacy Officer documents nonroutine disclosure determinations and retains the documentation in accordance with the records retention schedule in</w:t>
      </w:r>
      <w:r>
        <w:t xml:space="preserve"> </w:t>
      </w:r>
      <w:hyperlink r:id="rId17">
        <w:r>
          <w:rPr>
            <w:rStyle w:val="Hyperlink"/>
          </w:rPr>
          <w:t xml:space="preserve">governance-and-risk-management.md</w:t>
        </w:r>
      </w:hyperlink>
      <w:r>
        <w:t xml:space="preserve">.</w:t>
      </w:r>
    </w:p>
    <w:p>
      <w:r>
        <w:pict>
          <v:rect style="width:0;height:1.5pt" o:hralign="center" o:hrstd="t" o:hr="t"/>
        </w:pict>
      </w:r>
    </w:p>
    <w:bookmarkEnd w:id="18"/>
    <w:bookmarkEnd w:id="19"/>
    <w:bookmarkStart w:id="25" w:name="X15b1cf31283bb97dae6899d8b591dea43176d2f"/>
    <w:p>
      <w:pPr>
        <w:pStyle w:val="Heading3"/>
      </w:pPr>
      <w:r>
        <w:t xml:space="preserve">2. Permitted Uses &amp; Disclosures for Legal, Public Health &amp; Regulatory Purposes (originally L-002)</w:t>
      </w:r>
    </w:p>
    <w:p>
      <w:pPr>
        <w:pStyle w:val="FirstParagraph"/>
      </w:pPr>
      <w:r>
        <w:t xml:space="preserve">For the specific purposes described in this section, Company may use or disclose PHI without first obtaining the Individual’s written authorization and without providing the Individual with an opportunity to object. All such disclosures remain subject to the Minimum Necessary Rule (Section 1) and to the accounting of disclosures requirements in</w:t>
      </w:r>
      <w:r>
        <w:t xml:space="preserve"> </w:t>
      </w:r>
      <w:hyperlink r:id="rId20">
        <w:r>
          <w:rPr>
            <w:rStyle w:val="Hyperlink"/>
          </w:rPr>
          <w:t xml:space="preserve">patient-rights.md</w:t>
        </w:r>
      </w:hyperlink>
      <w:r>
        <w:t xml:space="preserve">.</w:t>
      </w:r>
    </w:p>
    <w:bookmarkStart w:id="21" w:name="health-oversight-activities"/>
    <w:p>
      <w:pPr>
        <w:pStyle w:val="Heading4"/>
      </w:pPr>
      <w:r>
        <w:t xml:space="preserve">2.1 Health oversight activities</w:t>
      </w:r>
    </w:p>
    <w:p>
      <w:pPr>
        <w:pStyle w:val="FirstParagraph"/>
      </w:pPr>
      <w:r>
        <w:t xml:space="preserve">Company may disclose PHI to a health oversight agency (e.g., HHS, state Departments of Health, state Agencies for Health Care Administration) for oversight activities authorized by law, including audits, civil and criminal investigations or proceedings, inspections, licensure, or disciplinary actions.</w:t>
      </w:r>
    </w:p>
    <w:p>
      <w:pPr>
        <w:pStyle w:val="BodyText"/>
      </w:pPr>
      <w:r>
        <w:rPr>
          <w:i/>
          <w:iCs/>
        </w:rPr>
        <w:t xml:space="preserve">Exceptions.</w:t>
      </w:r>
      <w:r>
        <w:t xml:space="preserve"> </w:t>
      </w:r>
      <w:r>
        <w:t xml:space="preserve">Health oversight activities do</w:t>
      </w:r>
      <w:r>
        <w:t xml:space="preserve"> </w:t>
      </w:r>
      <w:r>
        <w:rPr>
          <w:b/>
          <w:bCs/>
        </w:rPr>
        <w:t xml:space="preserve">not</w:t>
      </w:r>
      <w:r>
        <w:t xml:space="preserve"> </w:t>
      </w:r>
      <w:r>
        <w:t xml:space="preserve">include investigations in which the Individual is the subject of an investigation that does not arise out of and is not directly related to (i) the receipt of health care; (ii) a claim for public benefits related to health; or (iii) qualification for, or receipt of, public benefits or services when an Individual’s health is integral to the claim. The rules governing disclosures for law enforcement purposes apply when the request is about an Individual for other purposes.</w:t>
      </w:r>
    </w:p>
    <w:p>
      <w:pPr>
        <w:pStyle w:val="BodyText"/>
      </w:pPr>
      <w:r>
        <w:t xml:space="preserve">If Company is unable to determine whether a request for PHI is for a health oversight activity, personnel must ask for an explanation of the purpose of the request and then consult with the Privacy Officer before disclosing.</w:t>
      </w:r>
    </w:p>
    <w:bookmarkEnd w:id="21"/>
    <w:bookmarkStart w:id="22" w:name="public-health-activities"/>
    <w:p>
      <w:pPr>
        <w:pStyle w:val="Heading4"/>
      </w:pPr>
      <w:r>
        <w:t xml:space="preserve">2.2 Public health activities</w:t>
      </w:r>
    </w:p>
    <w:p>
      <w:pPr>
        <w:pStyle w:val="FirstParagraph"/>
      </w:pPr>
      <w:r>
        <w:t xml:space="preserve">Public-health disclosures are particularly relevant to Company’s women’s-health practice. Company may disclose PHI for the following public-health purposes:</w:t>
      </w:r>
    </w:p>
    <w:p>
      <w:pPr>
        <w:pStyle w:val="Compact"/>
        <w:numPr>
          <w:ilvl w:val="0"/>
          <w:numId w:val="1005"/>
        </w:numPr>
      </w:pPr>
      <w:r>
        <w:rPr>
          <w:b/>
          <w:bCs/>
        </w:rPr>
        <w:t xml:space="preserve">To prevent or control disease.</w:t>
      </w:r>
      <w:r>
        <w:t xml:space="preserve"> </w:t>
      </w:r>
      <w:r>
        <w:t xml:space="preserve">If required by law for preventing or controlling disease, injury, or disability, and the conduct of public health surveillance, interventions, or investigations.</w:t>
      </w:r>
    </w:p>
    <w:p>
      <w:pPr>
        <w:pStyle w:val="Compact"/>
        <w:numPr>
          <w:ilvl w:val="0"/>
          <w:numId w:val="1005"/>
        </w:numPr>
      </w:pPr>
      <w:r>
        <w:rPr>
          <w:b/>
          <w:bCs/>
        </w:rPr>
        <w:t xml:space="preserve">To report child abuse or neglect.</w:t>
      </w:r>
      <w:r>
        <w:t xml:space="preserve"> </w:t>
      </w:r>
      <w:r>
        <w:t xml:space="preserve">To the appropriate government authority authorized by law to receive reports of child abuse or neglect.</w:t>
      </w:r>
    </w:p>
    <w:p>
      <w:pPr>
        <w:pStyle w:val="Compact"/>
        <w:numPr>
          <w:ilvl w:val="0"/>
          <w:numId w:val="1005"/>
        </w:numPr>
      </w:pPr>
      <w:r>
        <w:rPr>
          <w:b/>
          <w:bCs/>
        </w:rPr>
        <w:t xml:space="preserve">To fulfill FDA requirements.</w:t>
      </w:r>
      <w:r>
        <w:t xml:space="preserve"> </w:t>
      </w:r>
      <w:r>
        <w:t xml:space="preserve">For activities related to the quality, safety, or effectiveness of FDA-regulated products or activities, including:</w:t>
      </w:r>
    </w:p>
    <w:p>
      <w:pPr>
        <w:pStyle w:val="Compact"/>
        <w:numPr>
          <w:ilvl w:val="1"/>
          <w:numId w:val="1006"/>
        </w:numPr>
      </w:pPr>
      <w:r>
        <w:t xml:space="preserve">Collecting or reporting adverse events, product defects or problems (including problems with the use or labeling of a product), or biological product deviations.</w:t>
      </w:r>
    </w:p>
    <w:p>
      <w:pPr>
        <w:pStyle w:val="Compact"/>
        <w:numPr>
          <w:ilvl w:val="1"/>
          <w:numId w:val="1006"/>
        </w:numPr>
      </w:pPr>
      <w:r>
        <w:t xml:space="preserve">Tracking FDA-regulated products.</w:t>
      </w:r>
    </w:p>
    <w:p>
      <w:pPr>
        <w:pStyle w:val="Compact"/>
        <w:numPr>
          <w:ilvl w:val="1"/>
          <w:numId w:val="1006"/>
        </w:numPr>
      </w:pPr>
      <w:r>
        <w:t xml:space="preserve">Enabling product recalls, repairs, replacements, or lookbacks (including locating and notifying people who have received products subject to recalls, withdrawals, or lookbacks).</w:t>
      </w:r>
    </w:p>
    <w:p>
      <w:pPr>
        <w:pStyle w:val="Compact"/>
        <w:numPr>
          <w:ilvl w:val="1"/>
          <w:numId w:val="1006"/>
        </w:numPr>
      </w:pPr>
      <w:r>
        <w:t xml:space="preserve">Conducting post-marketing surveillance.</w:t>
      </w:r>
    </w:p>
    <w:p>
      <w:pPr>
        <w:pStyle w:val="Compact"/>
        <w:numPr>
          <w:ilvl w:val="0"/>
          <w:numId w:val="1005"/>
        </w:numPr>
      </w:pPr>
      <w:r>
        <w:rPr>
          <w:b/>
          <w:bCs/>
        </w:rPr>
        <w:t xml:space="preserve">To notify persons of exposure to communicable diseases.</w:t>
      </w:r>
      <w:r>
        <w:t xml:space="preserve"> </w:t>
      </w:r>
      <w:r>
        <w:t xml:space="preserve">If Company is authorized by law to notify such persons as necessary in the conduct of a public-health intervention or investigation (e.g., for the intervention or investigation of COVID-19, tuberculosis, or sexually transmitted infections).</w:t>
      </w:r>
    </w:p>
    <w:p>
      <w:pPr>
        <w:pStyle w:val="Compact"/>
        <w:numPr>
          <w:ilvl w:val="0"/>
          <w:numId w:val="1005"/>
        </w:numPr>
      </w:pPr>
      <w:r>
        <w:rPr>
          <w:b/>
          <w:bCs/>
        </w:rPr>
        <w:t xml:space="preserve">To disclose proof of immunization to schools.</w:t>
      </w:r>
      <w:r>
        <w:t xml:space="preserve"> </w:t>
      </w:r>
      <w:r>
        <w:t xml:space="preserve">If Company obtains agreement, which may be oral, from an Individual, guardian, or other person acting</w:t>
      </w:r>
      <w:r>
        <w:t xml:space="preserve"> </w:t>
      </w:r>
      <w:r>
        <w:rPr>
          <w:i/>
          <w:iCs/>
        </w:rPr>
        <w:t xml:space="preserve">in loco parentis</w:t>
      </w:r>
      <w:r>
        <w:t xml:space="preserve"> </w:t>
      </w:r>
      <w:r>
        <w:t xml:space="preserve">for the Individual, or from the Individual if he or she is an adult or emancipated minor. Company documents any oral consent in the patient record.</w:t>
      </w:r>
    </w:p>
    <w:bookmarkEnd w:id="22"/>
    <w:bookmarkStart w:id="23" w:name="Xd6b893d63ae05f062dd6d26587d87db37e2cda0"/>
    <w:p>
      <w:pPr>
        <w:pStyle w:val="Heading4"/>
      </w:pPr>
      <w:r>
        <w:t xml:space="preserve">2.3 To avert a serious threat to health or safety</w:t>
      </w:r>
    </w:p>
    <w:p>
      <w:pPr>
        <w:pStyle w:val="FirstParagraph"/>
      </w:pPr>
      <w:r>
        <w:t xml:space="preserve">Limited disclosures may be made if consistent with applicable law and Company believes, in good faith, that the use or disclosure:</w:t>
      </w:r>
    </w:p>
    <w:p>
      <w:pPr>
        <w:pStyle w:val="Compact"/>
        <w:numPr>
          <w:ilvl w:val="0"/>
          <w:numId w:val="1007"/>
        </w:numPr>
      </w:pPr>
      <w:r>
        <w:t xml:space="preserve">Is necessary to prevent or lessen a serious and imminent threat to the health or safety of a person or the public, and the disclosure is made to a person or persons reasonably able to prevent or lessen the threat.</w:t>
      </w:r>
    </w:p>
    <w:p>
      <w:pPr>
        <w:pStyle w:val="Compact"/>
        <w:numPr>
          <w:ilvl w:val="0"/>
          <w:numId w:val="1007"/>
        </w:numPr>
      </w:pPr>
      <w:r>
        <w:t xml:space="preserve">Is necessary for law enforcement authorities to identify or apprehend an individual:</w:t>
      </w:r>
    </w:p>
    <w:p>
      <w:pPr>
        <w:pStyle w:val="Compact"/>
        <w:numPr>
          <w:ilvl w:val="1"/>
          <w:numId w:val="1008"/>
        </w:numPr>
      </w:pPr>
      <w:r>
        <w:t xml:space="preserve">Who appears from all the circumstances to have escaped from a correctional institution or from lawful custody; or</w:t>
      </w:r>
    </w:p>
    <w:p>
      <w:pPr>
        <w:pStyle w:val="Compact"/>
        <w:numPr>
          <w:ilvl w:val="1"/>
          <w:numId w:val="1008"/>
        </w:numPr>
      </w:pPr>
      <w:r>
        <w:t xml:space="preserve">Due to a statement made by an individual admitting participation in a violent crime which may have caused serious physical harm to the victim, if such disclosure is limited to the contents of the individual’s statement and provides only the PHI that may be disclosed when identifying a victim under 45 CFR §164.512(f)(2).</w:t>
      </w:r>
    </w:p>
    <w:p>
      <w:pPr>
        <w:pStyle w:val="FirstParagraph"/>
      </w:pPr>
      <w:r>
        <w:t xml:space="preserve">Threat-to-safety disclosures are clinically sensitive. Personnel must contact the Privacy Officer (or, after hours, the on-call clinical leader) before disclosing, except where waiting would defeat the purpose of preventing imminent harm. The disclosing person documents the determination contemporaneously.</w:t>
      </w:r>
    </w:p>
    <w:bookmarkEnd w:id="23"/>
    <w:bookmarkStart w:id="24" w:name="X629a0717d3182d25b2ecccc50628aa8fac6bc66"/>
    <w:p>
      <w:pPr>
        <w:pStyle w:val="Heading4"/>
      </w:pPr>
      <w:r>
        <w:t xml:space="preserve">2.4 Other disclosures permitted under 45 CFR §164.512</w:t>
      </w:r>
    </w:p>
    <w:p>
      <w:pPr>
        <w:pStyle w:val="FirstParagraph"/>
      </w:pPr>
      <w:r>
        <w:t xml:space="preserve">Disclosures permitted under 45 CFR §164.512 (uses and disclosures for which an authorization or opportunity to agree or object is not required) — including but not limited to disclosures for law enforcement purposes, disclosures concerning victims of abuse/neglect/domestic violence, disclosures to coroners and medical examiners, disclosures to funeral directors, disclosures for cadaveric organ/eye/tissue donation, disclosures for workers’ compensation, disclosures for judicial and administrative proceedings, disclosures to correctional institutions and in other custodial situations, disclosures for military and veteran activities, disclosures for national security and intelligence activities, and disclosures for protective services for the President and others —</w:t>
      </w:r>
      <w:r>
        <w:t xml:space="preserve"> </w:t>
      </w:r>
      <w:r>
        <w:rPr>
          <w:b/>
          <w:bCs/>
        </w:rPr>
        <w:t xml:space="preserve">require Privacy Officer approval prior to release.</w:t>
      </w:r>
      <w:r>
        <w:t xml:space="preserve"> </w:t>
      </w:r>
      <w:r>
        <w:t xml:space="preserve">The full list of permitted disclosures is available in 45 CFR §164.512 and the appendix to this section.</w:t>
      </w:r>
    </w:p>
    <w:p>
      <w:pPr>
        <w:pStyle w:val="BodyText"/>
      </w:pPr>
      <w:r>
        <w:t xml:space="preserve">For each such disclosure, the Privacy Officer (or designee) confirms (a) the statutory or regulatory basis for the disclosure, (b) that only the minimum necessary PHI is being released, (c) that any required documentation (e.g., court order, written representation from the requesting official) is on file, and (d) that the disclosure is logged in the accounting of disclosures system per</w:t>
      </w:r>
      <w:r>
        <w:t xml:space="preserve"> </w:t>
      </w:r>
      <w:hyperlink r:id="rId20">
        <w:r>
          <w:rPr>
            <w:rStyle w:val="Hyperlink"/>
          </w:rPr>
          <w:t xml:space="preserve">patient-rights.md</w:t>
        </w:r>
      </w:hyperlink>
      <w:r>
        <w:t xml:space="preserve">.</w:t>
      </w:r>
    </w:p>
    <w:p>
      <w:pPr>
        <w:pStyle w:val="BodyText"/>
      </w:pPr>
      <w:r>
        <w:t xml:space="preserve">Subpoenas or discovery requests that are not accompanied by a court order or Individual authorization are limited by state law and applicable privileges. Personnel</w:t>
      </w:r>
      <w:r>
        <w:t xml:space="preserve"> </w:t>
      </w:r>
      <w:r>
        <w:rPr>
          <w:b/>
          <w:bCs/>
        </w:rPr>
        <w:t xml:space="preserve">must not</w:t>
      </w:r>
      <w:r>
        <w:t xml:space="preserve"> </w:t>
      </w:r>
      <w:r>
        <w:t xml:space="preserve">respond to such subpoenas without Privacy Officer authorization.</w:t>
      </w:r>
    </w:p>
    <w:p>
      <w:r>
        <w:pict>
          <v:rect style="width:0;height:1.5pt" o:hralign="center" o:hrstd="t" o:hr="t"/>
        </w:pict>
      </w:r>
    </w:p>
    <w:bookmarkEnd w:id="24"/>
    <w:bookmarkEnd w:id="25"/>
    <w:bookmarkStart w:id="28" w:name="X3e49e340c1581804052077bca9a2917333126a5"/>
    <w:p>
      <w:pPr>
        <w:pStyle w:val="Heading3"/>
      </w:pPr>
      <w:r>
        <w:t xml:space="preserve">3. De-Identification of PHI (originally L-005)</w:t>
      </w:r>
    </w:p>
    <w:p>
      <w:pPr>
        <w:pStyle w:val="FirstParagraph"/>
      </w:pPr>
      <w:r>
        <w:t xml:space="preserve">All PHI that has been</w:t>
      </w:r>
      <w:r>
        <w:t xml:space="preserve"> </w:t>
      </w:r>
      <w:r>
        <w:t xml:space="preserve">“de-identified”</w:t>
      </w:r>
      <w:r>
        <w:t xml:space="preserve"> </w:t>
      </w:r>
      <w:r>
        <w:t xml:space="preserve">in accordance with this Section 3 may be used or disclosed without complying with HIPAA. Information is considered de-identified when there is no reasonable basis to believe the information can be used to identify an Individual.</w:t>
      </w:r>
    </w:p>
    <w:p>
      <w:pPr>
        <w:pStyle w:val="BodyText"/>
      </w:pPr>
      <w:r>
        <w:t xml:space="preserve">Any individual or department wishing to create or use de-identified information must contact the Privacy Officer, who confirms that one of the two HIPAA-compliant de-identification methods below is properly followed. The Privacy Officer documents the basis of every de-identification determination.</w:t>
      </w:r>
    </w:p>
    <w:bookmarkStart w:id="26" w:name="method-a-expert-determination"/>
    <w:p>
      <w:pPr>
        <w:pStyle w:val="Heading4"/>
      </w:pPr>
      <w:r>
        <w:t xml:space="preserve">3.1 Method A — Expert Determination</w:t>
      </w:r>
    </w:p>
    <w:p>
      <w:pPr>
        <w:pStyle w:val="FirstParagraph"/>
      </w:pPr>
      <w:r>
        <w:t xml:space="preserve">A person with appropriate knowledge of, and experience with, generally accepted statistical and scientific principles and methods for rendering information not individually identifiable:</w:t>
      </w:r>
    </w:p>
    <w:p>
      <w:pPr>
        <w:pStyle w:val="Compact"/>
        <w:numPr>
          <w:ilvl w:val="0"/>
          <w:numId w:val="1009"/>
        </w:numPr>
      </w:pPr>
      <w:r>
        <w:t xml:space="preserve">Applying such principles and methods, determines that the risk is</w:t>
      </w:r>
      <w:r>
        <w:t xml:space="preserve"> </w:t>
      </w:r>
      <w:r>
        <w:rPr>
          <w:b/>
          <w:bCs/>
        </w:rPr>
        <w:t xml:space="preserve">very small</w:t>
      </w:r>
      <w:r>
        <w:t xml:space="preserve"> </w:t>
      </w:r>
      <w:r>
        <w:t xml:space="preserve">that the information could be used (alone or in combination with other reasonably available information) by an anticipated recipient to identify an Individual who is a subject of the information; and</w:t>
      </w:r>
    </w:p>
    <w:p>
      <w:pPr>
        <w:pStyle w:val="Compact"/>
        <w:numPr>
          <w:ilvl w:val="0"/>
          <w:numId w:val="1009"/>
        </w:numPr>
      </w:pPr>
      <w:r>
        <w:t xml:space="preserve">Documents the methods and results of the analysis that justify such determination.</w:t>
      </w:r>
    </w:p>
    <w:p>
      <w:pPr>
        <w:pStyle w:val="FirstParagraph"/>
      </w:pPr>
      <w:r>
        <w:t xml:space="preserve">The Expert Determination, supporting analysis, and any conditions of use must be retained by the Privacy Officer for as long as the de-identified data set is in use and for at least 6 years thereafter.</w:t>
      </w:r>
    </w:p>
    <w:bookmarkEnd w:id="26"/>
    <w:bookmarkStart w:id="27" w:name="method-b-safe-harbor-18-identifier-list"/>
    <w:p>
      <w:pPr>
        <w:pStyle w:val="Heading4"/>
      </w:pPr>
      <w:r>
        <w:t xml:space="preserve">3.2 Method B — Safe Harbor (18-identifier list)</w:t>
      </w:r>
    </w:p>
    <w:p>
      <w:pPr>
        <w:pStyle w:val="FirstParagraph"/>
      </w:pPr>
      <w:r>
        <w:t xml:space="preserve">The following identifiers of the Individual, as well as of relatives, employers, or household members of the Individual, have been properly removed from the information:</w:t>
      </w:r>
    </w:p>
    <w:p>
      <w:pPr>
        <w:pStyle w:val="Compact"/>
        <w:numPr>
          <w:ilvl w:val="0"/>
          <w:numId w:val="1010"/>
        </w:numPr>
      </w:pPr>
      <w:r>
        <w:t xml:space="preserve">Names;</w:t>
      </w:r>
    </w:p>
    <w:p>
      <w:pPr>
        <w:pStyle w:val="Compact"/>
        <w:numPr>
          <w:ilvl w:val="0"/>
          <w:numId w:val="1010"/>
        </w:numPr>
      </w:pPr>
      <w:r>
        <w:t xml:space="preserve">All geographic subdivisions smaller than a state, including street address, city, county, precinct, zip code and their equivalent geocodes (except for the initial three digits of a zip code if the geographic unit formed by such three digits contains more than 20,000 people);</w:t>
      </w:r>
    </w:p>
    <w:p>
      <w:pPr>
        <w:pStyle w:val="Compact"/>
        <w:numPr>
          <w:ilvl w:val="0"/>
          <w:numId w:val="1010"/>
        </w:numPr>
      </w:pPr>
      <w:r>
        <w:rPr>
          <w:i/>
          <w:iCs/>
        </w:rPr>
        <w:t xml:space="preserve">Except for calendar years</w:t>
      </w:r>
      <w:r>
        <w:t xml:space="preserve">, all dates related to an Individual such as birth date, admission date, discharge date or date of death, provided, however, that all Individuals over 89 years of age may only be aggregated into a single category of age 90 or older and may not be categorized by calendar year;</w:t>
      </w:r>
    </w:p>
    <w:p>
      <w:pPr>
        <w:pStyle w:val="Compact"/>
        <w:numPr>
          <w:ilvl w:val="0"/>
          <w:numId w:val="1010"/>
        </w:numPr>
      </w:pPr>
      <w:r>
        <w:t xml:space="preserve">Telephone numbers;</w:t>
      </w:r>
    </w:p>
    <w:p>
      <w:pPr>
        <w:pStyle w:val="Compact"/>
        <w:numPr>
          <w:ilvl w:val="0"/>
          <w:numId w:val="1010"/>
        </w:numPr>
      </w:pPr>
      <w:r>
        <w:t xml:space="preserve">Fax numbers;</w:t>
      </w:r>
    </w:p>
    <w:p>
      <w:pPr>
        <w:pStyle w:val="Compact"/>
        <w:numPr>
          <w:ilvl w:val="0"/>
          <w:numId w:val="1010"/>
        </w:numPr>
      </w:pPr>
      <w:r>
        <w:t xml:space="preserve">Email addresses;</w:t>
      </w:r>
    </w:p>
    <w:p>
      <w:pPr>
        <w:pStyle w:val="Compact"/>
        <w:numPr>
          <w:ilvl w:val="0"/>
          <w:numId w:val="1010"/>
        </w:numPr>
      </w:pPr>
      <w:r>
        <w:t xml:space="preserve">Social Security numbers;</w:t>
      </w:r>
    </w:p>
    <w:p>
      <w:pPr>
        <w:pStyle w:val="Compact"/>
        <w:numPr>
          <w:ilvl w:val="0"/>
          <w:numId w:val="1010"/>
        </w:numPr>
      </w:pPr>
      <w:r>
        <w:t xml:space="preserve">Medical record numbers;</w:t>
      </w:r>
    </w:p>
    <w:p>
      <w:pPr>
        <w:pStyle w:val="Compact"/>
        <w:numPr>
          <w:ilvl w:val="0"/>
          <w:numId w:val="1010"/>
        </w:numPr>
      </w:pPr>
      <w:r>
        <w:t xml:space="preserve">Health plan beneficiary numbers;</w:t>
      </w:r>
    </w:p>
    <w:p>
      <w:pPr>
        <w:pStyle w:val="Compact"/>
        <w:numPr>
          <w:ilvl w:val="0"/>
          <w:numId w:val="1010"/>
        </w:numPr>
      </w:pPr>
      <w:r>
        <w:t xml:space="preserve">Account numbers;</w:t>
      </w:r>
    </w:p>
    <w:p>
      <w:pPr>
        <w:pStyle w:val="Compact"/>
        <w:numPr>
          <w:ilvl w:val="0"/>
          <w:numId w:val="1010"/>
        </w:numPr>
      </w:pPr>
      <w:r>
        <w:t xml:space="preserve">Certificate/license numbers;</w:t>
      </w:r>
    </w:p>
    <w:p>
      <w:pPr>
        <w:pStyle w:val="Compact"/>
        <w:numPr>
          <w:ilvl w:val="0"/>
          <w:numId w:val="1010"/>
        </w:numPr>
      </w:pPr>
      <w:r>
        <w:t xml:space="preserve">Vehicle identifiers and serial numbers, including license plate numbers;</w:t>
      </w:r>
    </w:p>
    <w:p>
      <w:pPr>
        <w:pStyle w:val="Compact"/>
        <w:numPr>
          <w:ilvl w:val="0"/>
          <w:numId w:val="1010"/>
        </w:numPr>
      </w:pPr>
      <w:r>
        <w:t xml:space="preserve">Device identifiers and serial numbers;</w:t>
      </w:r>
    </w:p>
    <w:p>
      <w:pPr>
        <w:pStyle w:val="Compact"/>
        <w:numPr>
          <w:ilvl w:val="0"/>
          <w:numId w:val="1010"/>
        </w:numPr>
      </w:pPr>
      <w:r>
        <w:t xml:space="preserve">Web Universal Resource Locators (URLs);</w:t>
      </w:r>
    </w:p>
    <w:p>
      <w:pPr>
        <w:pStyle w:val="Compact"/>
        <w:numPr>
          <w:ilvl w:val="0"/>
          <w:numId w:val="1010"/>
        </w:numPr>
      </w:pPr>
      <w:r>
        <w:t xml:space="preserve">Internet protocol (IP) address numbers;</w:t>
      </w:r>
    </w:p>
    <w:p>
      <w:pPr>
        <w:pStyle w:val="Compact"/>
        <w:numPr>
          <w:ilvl w:val="0"/>
          <w:numId w:val="1010"/>
        </w:numPr>
      </w:pPr>
      <w:r>
        <w:t xml:space="preserve">Biometric identifiers, including fingerprints and voiceprints;</w:t>
      </w:r>
    </w:p>
    <w:p>
      <w:pPr>
        <w:pStyle w:val="Compact"/>
        <w:numPr>
          <w:ilvl w:val="0"/>
          <w:numId w:val="1010"/>
        </w:numPr>
      </w:pPr>
      <w:r>
        <w:t xml:space="preserve">Full-face photographic images and any comparable images; and</w:t>
      </w:r>
    </w:p>
    <w:p>
      <w:pPr>
        <w:pStyle w:val="Compact"/>
        <w:numPr>
          <w:ilvl w:val="0"/>
          <w:numId w:val="1010"/>
        </w:numPr>
      </w:pPr>
      <w:r>
        <w:t xml:space="preserve">Any other unique identifying number, characteristic or code (excluding the re-identification code described below).</w:t>
      </w:r>
    </w:p>
    <w:p>
      <w:pPr>
        <w:pStyle w:val="FirstParagraph"/>
      </w:pPr>
      <w:r>
        <w:t xml:space="preserve">Additionally, Company must have no actual knowledge that the information could be used alone or in combination with other information to identify an Individual.</w:t>
      </w:r>
    </w:p>
    <w:p>
      <w:pPr>
        <w:pStyle w:val="BodyText"/>
      </w:pPr>
      <w:r>
        <w:t xml:space="preserve">Company requires that any information de-identified under either method be approved by the Privacy Officer or designee prior to use or disclosure.</w:t>
      </w:r>
    </w:p>
    <w:p>
      <w:r>
        <w:pict>
          <v:rect style="width:0;height:1.5pt" o:hralign="center" o:hrstd="t" o:hr="t"/>
        </w:pict>
      </w:r>
    </w:p>
    <w:bookmarkEnd w:id="27"/>
    <w:bookmarkEnd w:id="28"/>
    <w:bookmarkStart w:id="29" w:name="re-identification-controls"/>
    <w:p>
      <w:pPr>
        <w:pStyle w:val="Heading3"/>
      </w:pPr>
      <w:r>
        <w:t xml:space="preserve">4. Re-Identification Controls</w:t>
      </w:r>
    </w:p>
    <w:p>
      <w:pPr>
        <w:pStyle w:val="FirstParagraph"/>
      </w:pPr>
      <w:r>
        <w:t xml:space="preserve">Company may, at its discretion, decode or translate de-identified information in order to re-identify the information with respect to a specific Individual. Before any information is de-identified, the Privacy Officer determines whether a re-identification code is necessary. If a re-identification code is created, all of the following requirements must be met:</w:t>
      </w:r>
    </w:p>
    <w:p>
      <w:pPr>
        <w:pStyle w:val="Compact"/>
        <w:numPr>
          <w:ilvl w:val="0"/>
          <w:numId w:val="1011"/>
        </w:numPr>
      </w:pPr>
      <w:r>
        <w:t xml:space="preserve">The re-identification process must be performed in a secure manner so that no one other than Company can re-identify the information.</w:t>
      </w:r>
    </w:p>
    <w:p>
      <w:pPr>
        <w:pStyle w:val="Compact"/>
        <w:numPr>
          <w:ilvl w:val="0"/>
          <w:numId w:val="1011"/>
        </w:numPr>
      </w:pPr>
      <w:r>
        <w:t xml:space="preserve">The code, algorithm, table, or other tool for re-identification must not be disclosed to any third party or used for any purpose other than re-identification by Company.</w:t>
      </w:r>
    </w:p>
    <w:p>
      <w:pPr>
        <w:pStyle w:val="Compact"/>
        <w:numPr>
          <w:ilvl w:val="0"/>
          <w:numId w:val="1011"/>
        </w:numPr>
      </w:pPr>
      <w:r>
        <w:t xml:space="preserve">The re-identification process used must be incapable of being translated or decoded by a third party so as to identify the Individual (e.g., the code cannot be a derivative of the Individual’s name, date of birth, or Social Security number).</w:t>
      </w:r>
    </w:p>
    <w:p>
      <w:pPr>
        <w:pStyle w:val="Compact"/>
        <w:numPr>
          <w:ilvl w:val="0"/>
          <w:numId w:val="1011"/>
        </w:numPr>
      </w:pPr>
      <w:r>
        <w:t xml:space="preserve">The re-identification code and key material must be stored, transmitted, and access-controlled in accordance with</w:t>
      </w:r>
      <w:r>
        <w:t xml:space="preserve"> </w:t>
      </w:r>
      <w:hyperlink r:id="rId13">
        <w:r>
          <w:rPr>
            <w:rStyle w:val="Hyperlink"/>
          </w:rPr>
          <w:t xml:space="preserve">technical-safeguards.md</w:t>
        </w:r>
      </w:hyperlink>
      <w:r>
        <w:t xml:space="preserve">, including encryption at rest and least-privilege access.</w:t>
      </w:r>
    </w:p>
    <w:p>
      <w:pPr>
        <w:pStyle w:val="FirstParagraph"/>
      </w:pPr>
      <w:r>
        <w:t xml:space="preserve">Any re-identification code must be approved by the Privacy Officer prior to use or disclosure. Prior to any re-identification, the Privacy Officer (in coordination with the Security Officer) approves a plan ensuring HIPAA-compliant protection of the information subsequent to re-identification, including how the resulting PHI will be transmitted, stored, and ultimately destroyed or returned.</w:t>
      </w:r>
    </w:p>
    <w:p>
      <w:r>
        <w:pict>
          <v:rect style="width:0;height:1.5pt" o:hralign="center" o:hrstd="t" o:hr="t"/>
        </w:pict>
      </w:r>
    </w:p>
    <w:bookmarkEnd w:id="29"/>
    <w:bookmarkStart w:id="34" w:name="Xf88f22e54ea3bde38d4ed2ad6d64e23e35397e2"/>
    <w:p>
      <w:pPr>
        <w:pStyle w:val="Heading3"/>
      </w:pPr>
      <w:r>
        <w:t xml:space="preserve">5. Limited Data Sets and Data Use Agreements</w:t>
      </w:r>
    </w:p>
    <w:bookmarkStart w:id="30" w:name="permitted-purposes"/>
    <w:p>
      <w:pPr>
        <w:pStyle w:val="Heading4"/>
      </w:pPr>
      <w:r>
        <w:t xml:space="preserve">5.1 Permitted purposes</w:t>
      </w:r>
    </w:p>
    <w:p>
      <w:pPr>
        <w:pStyle w:val="FirstParagraph"/>
      </w:pPr>
      <w:r>
        <w:t xml:space="preserve">Limited Data Sets (</w:t>
      </w:r>
      <w:r>
        <w:t xml:space="preserve">“LDS”</w:t>
      </w:r>
      <w:r>
        <w:t xml:space="preserve">) of PHI may be used and disclosed only for</w:t>
      </w:r>
      <w:r>
        <w:t xml:space="preserve"> </w:t>
      </w:r>
      <w:r>
        <w:rPr>
          <w:b/>
          <w:bCs/>
        </w:rPr>
        <w:t xml:space="preserve">research, public health, and Health Care Operations</w:t>
      </w:r>
      <w:r>
        <w:t xml:space="preserve"> </w:t>
      </w:r>
      <w:r>
        <w:t xml:space="preserve">purposes. Each LDS must exclude the identifiers listed below and may be disclosed only after Company has obtained a written Data Use Agreement (</w:t>
      </w:r>
      <w:r>
        <w:t xml:space="preserve">“DUA”</w:t>
      </w:r>
      <w:r>
        <w:t xml:space="preserve">) from the recipient. The Minimum Necessary Rule (Section 1) continues to apply to all uses and disclosures of an LDS.</w:t>
      </w:r>
    </w:p>
    <w:bookmarkEnd w:id="30"/>
    <w:bookmarkStart w:id="31" w:name="direct-identifiers-to-be-removed-lds"/>
    <w:p>
      <w:pPr>
        <w:pStyle w:val="Heading4"/>
      </w:pPr>
      <w:r>
        <w:t xml:space="preserve">5.2 Direct identifiers to be removed (LDS)</w:t>
      </w:r>
    </w:p>
    <w:p>
      <w:pPr>
        <w:pStyle w:val="FirstParagraph"/>
      </w:pPr>
      <w:r>
        <w:t xml:space="preserve">A Limited Data Set is a set of PHI from which all of the following direct identifiers of the Individual, as well as of relatives, employers, or household members of the Individual, have been removed:</w:t>
      </w:r>
    </w:p>
    <w:p>
      <w:pPr>
        <w:pStyle w:val="Compact"/>
        <w:numPr>
          <w:ilvl w:val="0"/>
          <w:numId w:val="1012"/>
        </w:numPr>
      </w:pPr>
      <w:r>
        <w:t xml:space="preserve">Names;</w:t>
      </w:r>
    </w:p>
    <w:p>
      <w:pPr>
        <w:pStyle w:val="Compact"/>
        <w:numPr>
          <w:ilvl w:val="0"/>
          <w:numId w:val="1012"/>
        </w:numPr>
      </w:pPr>
      <w:r>
        <w:t xml:space="preserve">Postal address information, other than town or city, state, and zip code;</w:t>
      </w:r>
    </w:p>
    <w:p>
      <w:pPr>
        <w:pStyle w:val="Compact"/>
        <w:numPr>
          <w:ilvl w:val="0"/>
          <w:numId w:val="1012"/>
        </w:numPr>
      </w:pPr>
      <w:r>
        <w:t xml:space="preserve">Telephone numbers;</w:t>
      </w:r>
    </w:p>
    <w:p>
      <w:pPr>
        <w:pStyle w:val="Compact"/>
        <w:numPr>
          <w:ilvl w:val="0"/>
          <w:numId w:val="1012"/>
        </w:numPr>
      </w:pPr>
      <w:r>
        <w:t xml:space="preserve">Fax numbers;</w:t>
      </w:r>
    </w:p>
    <w:p>
      <w:pPr>
        <w:pStyle w:val="Compact"/>
        <w:numPr>
          <w:ilvl w:val="0"/>
          <w:numId w:val="1012"/>
        </w:numPr>
      </w:pPr>
      <w:r>
        <w:t xml:space="preserve">Email addresses;</w:t>
      </w:r>
    </w:p>
    <w:p>
      <w:pPr>
        <w:pStyle w:val="Compact"/>
        <w:numPr>
          <w:ilvl w:val="0"/>
          <w:numId w:val="1012"/>
        </w:numPr>
      </w:pPr>
      <w:r>
        <w:t xml:space="preserve">Social Security numbers;</w:t>
      </w:r>
    </w:p>
    <w:p>
      <w:pPr>
        <w:pStyle w:val="Compact"/>
        <w:numPr>
          <w:ilvl w:val="0"/>
          <w:numId w:val="1012"/>
        </w:numPr>
      </w:pPr>
      <w:r>
        <w:t xml:space="preserve">Medical record numbers;</w:t>
      </w:r>
    </w:p>
    <w:p>
      <w:pPr>
        <w:pStyle w:val="Compact"/>
        <w:numPr>
          <w:ilvl w:val="0"/>
          <w:numId w:val="1012"/>
        </w:numPr>
      </w:pPr>
      <w:r>
        <w:t xml:space="preserve">Health plan beneficiary numbers;</w:t>
      </w:r>
    </w:p>
    <w:p>
      <w:pPr>
        <w:pStyle w:val="Compact"/>
        <w:numPr>
          <w:ilvl w:val="0"/>
          <w:numId w:val="1012"/>
        </w:numPr>
      </w:pPr>
      <w:r>
        <w:t xml:space="preserve">Account numbers;</w:t>
      </w:r>
    </w:p>
    <w:p>
      <w:pPr>
        <w:pStyle w:val="Compact"/>
        <w:numPr>
          <w:ilvl w:val="0"/>
          <w:numId w:val="1012"/>
        </w:numPr>
      </w:pPr>
      <w:r>
        <w:t xml:space="preserve">Certificate/license numbers;</w:t>
      </w:r>
    </w:p>
    <w:p>
      <w:pPr>
        <w:pStyle w:val="Compact"/>
        <w:numPr>
          <w:ilvl w:val="0"/>
          <w:numId w:val="1012"/>
        </w:numPr>
      </w:pPr>
      <w:r>
        <w:t xml:space="preserve">Vehicle identifiers and serial numbers, including license plate numbers;</w:t>
      </w:r>
    </w:p>
    <w:p>
      <w:pPr>
        <w:pStyle w:val="Compact"/>
        <w:numPr>
          <w:ilvl w:val="0"/>
          <w:numId w:val="1012"/>
        </w:numPr>
      </w:pPr>
      <w:r>
        <w:t xml:space="preserve">Device identifiers and serial numbers;</w:t>
      </w:r>
    </w:p>
    <w:p>
      <w:pPr>
        <w:pStyle w:val="Compact"/>
        <w:numPr>
          <w:ilvl w:val="0"/>
          <w:numId w:val="1012"/>
        </w:numPr>
      </w:pPr>
      <w:r>
        <w:t xml:space="preserve">Web Universal Resource Locators (URLs);</w:t>
      </w:r>
    </w:p>
    <w:p>
      <w:pPr>
        <w:pStyle w:val="Compact"/>
        <w:numPr>
          <w:ilvl w:val="0"/>
          <w:numId w:val="1012"/>
        </w:numPr>
      </w:pPr>
      <w:r>
        <w:t xml:space="preserve">Internet protocol (IP) address numbers;</w:t>
      </w:r>
    </w:p>
    <w:p>
      <w:pPr>
        <w:pStyle w:val="Compact"/>
        <w:numPr>
          <w:ilvl w:val="0"/>
          <w:numId w:val="1012"/>
        </w:numPr>
      </w:pPr>
      <w:r>
        <w:t xml:space="preserve">Biometric identifiers, including fingerprints and voiceprints; and</w:t>
      </w:r>
    </w:p>
    <w:p>
      <w:pPr>
        <w:pStyle w:val="Compact"/>
        <w:numPr>
          <w:ilvl w:val="0"/>
          <w:numId w:val="1012"/>
        </w:numPr>
      </w:pPr>
      <w:r>
        <w:t xml:space="preserve">Full-face photographic images and any comparable images.</w:t>
      </w:r>
    </w:p>
    <w:bookmarkEnd w:id="31"/>
    <w:bookmarkStart w:id="32" w:name="creation-and-approval-workflow"/>
    <w:p>
      <w:pPr>
        <w:pStyle w:val="Heading4"/>
      </w:pPr>
      <w:r>
        <w:t xml:space="preserve">5.3 Creation and approval workflow</w:t>
      </w:r>
    </w:p>
    <w:p>
      <w:pPr>
        <w:pStyle w:val="FirstParagraph"/>
      </w:pPr>
      <w:r>
        <w:t xml:space="preserve">Any individual who wishes to create a Limited Data Set must notify the Privacy Officer, who works with the requester to ensure that all of the identifiers listed above are properly removed from the PHI before any disclosure is made. The Privacy Officer documents the creation method and the data elements retained.</w:t>
      </w:r>
    </w:p>
    <w:bookmarkEnd w:id="32"/>
    <w:bookmarkStart w:id="33" w:name="data-use-agreement-requirements"/>
    <w:p>
      <w:pPr>
        <w:pStyle w:val="Heading4"/>
      </w:pPr>
      <w:r>
        <w:t xml:space="preserve">5.4 Data Use Agreement requirements</w:t>
      </w:r>
    </w:p>
    <w:p>
      <w:pPr>
        <w:pStyle w:val="FirstParagraph"/>
      </w:pPr>
      <w:r>
        <w:t xml:space="preserve">Prior to disclosing a Limited Data Set to any recipient, a Data Use Agreement must be obtained from the intended recipient. The DUA lists the purposes for which the recipient may use the LDS and provides Company with satisfactory assurance that the recipient will use or disclose the Individual’s information only for those purposes.</w:t>
      </w:r>
    </w:p>
    <w:p>
      <w:pPr>
        <w:pStyle w:val="BodyText"/>
      </w:pPr>
      <w:r>
        <w:t xml:space="preserve">Each Data Use Agreement must contain:</w:t>
      </w:r>
    </w:p>
    <w:p>
      <w:pPr>
        <w:pStyle w:val="Compact"/>
        <w:numPr>
          <w:ilvl w:val="0"/>
          <w:numId w:val="1013"/>
        </w:numPr>
      </w:pPr>
      <w:r>
        <w:t xml:space="preserve">A statement indicating whether the Limited Data Set was created for research, public health, or Health Care Operations;</w:t>
      </w:r>
    </w:p>
    <w:p>
      <w:pPr>
        <w:pStyle w:val="Compact"/>
        <w:numPr>
          <w:ilvl w:val="0"/>
          <w:numId w:val="1013"/>
        </w:numPr>
      </w:pPr>
      <w:r>
        <w:t xml:space="preserve">A statement of the purposes for which the recipient may use or disclose the information, which purposes must be consistent with the reason the LDS was created;</w:t>
      </w:r>
    </w:p>
    <w:p>
      <w:pPr>
        <w:pStyle w:val="Compact"/>
        <w:numPr>
          <w:ilvl w:val="0"/>
          <w:numId w:val="1013"/>
        </w:numPr>
      </w:pPr>
      <w:r>
        <w:t xml:space="preserve">A list of the names of all individuals or entities being provided permission to receive the LDS under the DUA;</w:t>
      </w:r>
    </w:p>
    <w:p>
      <w:pPr>
        <w:pStyle w:val="Compact"/>
        <w:numPr>
          <w:ilvl w:val="0"/>
          <w:numId w:val="1013"/>
        </w:numPr>
      </w:pPr>
      <w:r>
        <w:t xml:space="preserve">A statement that the recipient agrees not to use or further disclose the information other than as permitted by the DUA or as required by law;</w:t>
      </w:r>
    </w:p>
    <w:p>
      <w:pPr>
        <w:pStyle w:val="Compact"/>
        <w:numPr>
          <w:ilvl w:val="0"/>
          <w:numId w:val="1013"/>
        </w:numPr>
      </w:pPr>
      <w:r>
        <w:t xml:space="preserve">A statement that the recipient agrees to use appropriate safeguards to prevent any use or disclosure of the information other than as permitted by the DUA;</w:t>
      </w:r>
    </w:p>
    <w:p>
      <w:pPr>
        <w:pStyle w:val="Compact"/>
        <w:numPr>
          <w:ilvl w:val="0"/>
          <w:numId w:val="1013"/>
        </w:numPr>
      </w:pPr>
      <w:r>
        <w:t xml:space="preserve">A statement that the recipient agrees to report to Company any use or disclosure of the information not provided for by the DUA of which it becomes aware;</w:t>
      </w:r>
    </w:p>
    <w:p>
      <w:pPr>
        <w:pStyle w:val="Compact"/>
        <w:numPr>
          <w:ilvl w:val="0"/>
          <w:numId w:val="1013"/>
        </w:numPr>
      </w:pPr>
      <w:r>
        <w:t xml:space="preserve">A statement that the recipient agrees to ensure that any agents, including subcontractors, to whom it provides the LDS will follow the same restrictions and conditions;</w:t>
      </w:r>
    </w:p>
    <w:p>
      <w:pPr>
        <w:pStyle w:val="Compact"/>
        <w:numPr>
          <w:ilvl w:val="0"/>
          <w:numId w:val="1013"/>
        </w:numPr>
      </w:pPr>
      <w:r>
        <w:t xml:space="preserve">A statement that the recipient agrees not to identify the information or attempt to contact the Individuals whose PHI is included in the LDS; and</w:t>
      </w:r>
    </w:p>
    <w:p>
      <w:pPr>
        <w:pStyle w:val="Compact"/>
        <w:numPr>
          <w:ilvl w:val="0"/>
          <w:numId w:val="1013"/>
        </w:numPr>
      </w:pPr>
      <w:r>
        <w:t xml:space="preserve">A statement that Company may terminate the DUA and the recipient’s use of the LDS if Company becomes aware of any pattern of behavior, activity, or practice of the recipient that materially breaches or violates the DUA. The statement must also indicate that Company will report any such breach or violation to the Secretary of HHS.</w:t>
      </w:r>
    </w:p>
    <w:p>
      <w:pPr>
        <w:pStyle w:val="FirstParagraph"/>
      </w:pPr>
      <w:r>
        <w:t xml:space="preserve">All Data Use Agreements must be approved and signed by the Privacy Officer prior to execution and prior to disclosure of the related Limited Data Set. A template DUA is provided in</w:t>
      </w:r>
      <w:r>
        <w:t xml:space="preserve"> </w:t>
      </w:r>
      <w:r>
        <w:rPr>
          <w:b/>
          <w:bCs/>
        </w:rPr>
        <w:t xml:space="preserve">Appendix A</w:t>
      </w:r>
      <w:r>
        <w:t xml:space="preserve">.</w:t>
      </w:r>
    </w:p>
    <w:p>
      <w:r>
        <w:pict>
          <v:rect style="width:0;height:1.5pt" o:hralign="center" o:hrstd="t" o:hr="t"/>
        </w:pict>
      </w:r>
    </w:p>
    <w:bookmarkEnd w:id="33"/>
    <w:bookmarkEnd w:id="34"/>
    <w:bookmarkStart w:id="40" w:name="Xf53c067e0c37f6fecf915b30ef3ed0d91cb356e"/>
    <w:p>
      <w:pPr>
        <w:pStyle w:val="Heading3"/>
      </w:pPr>
      <w:r>
        <w:t xml:space="preserve">6. Marketing &amp; Patient Communications (originally L-006)</w:t>
      </w:r>
    </w:p>
    <w:p>
      <w:pPr>
        <w:pStyle w:val="FirstParagraph"/>
      </w:pPr>
      <w:r>
        <w:t xml:space="preserve">It is Company’s policy to ensure compliance with HIPAA’s requirements regarding Marketing. HIPAA has specific rules about when Company may use PHI (including the name, address, dates of service, or medical information of an Individual) for Marketing. Personnel must follow this section before sending any communication that could meet the definition of Marketing.</w:t>
      </w:r>
    </w:p>
    <w:bookmarkStart w:id="35" w:name="defined-terms-used-in-this-section-6"/>
    <w:p>
      <w:pPr>
        <w:pStyle w:val="Heading4"/>
      </w:pPr>
      <w:r>
        <w:t xml:space="preserve">6.1 Defined terms used in this Section 6</w:t>
      </w:r>
    </w:p>
    <w:p>
      <w:pPr>
        <w:pStyle w:val="FirstParagraph"/>
      </w:pPr>
      <w:r>
        <w:t xml:space="preserve">“</w:t>
      </w:r>
      <w:r>
        <w:rPr>
          <w:b/>
          <w:bCs/>
        </w:rPr>
        <w:t xml:space="preserve">Marketing</w:t>
      </w:r>
      <w:r>
        <w:t xml:space="preserve">”</w:t>
      </w:r>
      <w:r>
        <w:t xml:space="preserve"> </w:t>
      </w:r>
      <w:r>
        <w:t xml:space="preserve">means any communication (oral or written) about a product or service that encourages the recipients of the communication to purchase or use the product or service.</w:t>
      </w:r>
    </w:p>
    <w:p>
      <w:pPr>
        <w:pStyle w:val="Compact"/>
        <w:numPr>
          <w:ilvl w:val="0"/>
          <w:numId w:val="1014"/>
        </w:numPr>
      </w:pPr>
      <w:r>
        <w:rPr>
          <w:i/>
          <w:iCs/>
        </w:rPr>
        <w:t xml:space="preserve">Exceptions.</w:t>
      </w:r>
      <w:r>
        <w:t xml:space="preserve"> </w:t>
      </w:r>
      <w:r>
        <w:t xml:space="preserve">The following are exceptions to the Marketing definition, regardless of whether there is Financial Remuneration (as defined below) in exchange for the communication:</w:t>
      </w:r>
    </w:p>
    <w:p>
      <w:pPr>
        <w:pStyle w:val="Compact"/>
        <w:numPr>
          <w:ilvl w:val="1"/>
          <w:numId w:val="1015"/>
        </w:numPr>
      </w:pPr>
      <w:r>
        <w:t xml:space="preserve">A face-to-face communication between Company personnel and the patient; or</w:t>
      </w:r>
    </w:p>
    <w:p>
      <w:pPr>
        <w:pStyle w:val="Compact"/>
        <w:numPr>
          <w:ilvl w:val="1"/>
          <w:numId w:val="1015"/>
        </w:numPr>
      </w:pPr>
      <w:r>
        <w:t xml:space="preserve">Promotional gifts to the patient of nominal value provided by Company (e.g., Company can distribute pens, toothbrushes, or key chains with the name of Company on them); however, please note that there are other laws, regulations, and guidelines that may restrict the giving of such gifts.</w:t>
      </w:r>
    </w:p>
    <w:p>
      <w:pPr>
        <w:pStyle w:val="Compact"/>
        <w:numPr>
          <w:ilvl w:val="0"/>
          <w:numId w:val="1014"/>
        </w:numPr>
      </w:pPr>
      <w:r>
        <w:rPr>
          <w:i/>
          <w:iCs/>
        </w:rPr>
        <w:t xml:space="preserve">Not included in the Marketing definition.</w:t>
      </w:r>
      <w:r>
        <w:t xml:space="preserve"> </w:t>
      </w:r>
      <w:r>
        <w:t xml:space="preserve">In addition, the following communications are considered to be made for Health Care Operations or Treatment purposes and are</w:t>
      </w:r>
      <w:r>
        <w:t xml:space="preserve"> </w:t>
      </w:r>
      <w:r>
        <w:rPr>
          <w:b/>
          <w:bCs/>
        </w:rPr>
        <w:t xml:space="preserve">not</w:t>
      </w:r>
      <w:r>
        <w:t xml:space="preserve"> </w:t>
      </w:r>
      <w:r>
        <w:t xml:space="preserve">Marketing, as long as Financial Remuneration is</w:t>
      </w:r>
      <w:r>
        <w:t xml:space="preserve"> </w:t>
      </w:r>
      <w:r>
        <w:rPr>
          <w:b/>
          <w:bCs/>
        </w:rPr>
        <w:t xml:space="preserve">not</w:t>
      </w:r>
      <w:r>
        <w:t xml:space="preserve"> </w:t>
      </w:r>
      <w:r>
        <w:t xml:space="preserve">received from a third party in exchange for Company communicating about the third party’s services or products:</w:t>
      </w:r>
    </w:p>
    <w:p>
      <w:pPr>
        <w:pStyle w:val="Compact"/>
        <w:numPr>
          <w:ilvl w:val="1"/>
          <w:numId w:val="1016"/>
        </w:numPr>
      </w:pPr>
      <w:r>
        <w:t xml:space="preserve">Describing a health-related product or service (or payment for such product or service) that is provided by Company, including communications about Company participating in a healthcare provider network or health plan network;</w:t>
      </w:r>
    </w:p>
    <w:p>
      <w:pPr>
        <w:pStyle w:val="Compact"/>
        <w:numPr>
          <w:ilvl w:val="1"/>
          <w:numId w:val="1016"/>
        </w:numPr>
      </w:pPr>
      <w:r>
        <w:t xml:space="preserve">Communications about Treatment of an Individual;</w:t>
      </w:r>
    </w:p>
    <w:p>
      <w:pPr>
        <w:pStyle w:val="Compact"/>
        <w:numPr>
          <w:ilvl w:val="1"/>
          <w:numId w:val="1016"/>
        </w:numPr>
      </w:pPr>
      <w:r>
        <w:t xml:space="preserve">Case management or care coordination;</w:t>
      </w:r>
    </w:p>
    <w:p>
      <w:pPr>
        <w:pStyle w:val="Compact"/>
        <w:numPr>
          <w:ilvl w:val="1"/>
          <w:numId w:val="1016"/>
        </w:numPr>
      </w:pPr>
      <w:r>
        <w:t xml:space="preserve">Contacting a patient with information about Treatment alternatives and related functions to the extent these activities do not fall within the definition of Treatment;</w:t>
      </w:r>
    </w:p>
    <w:p>
      <w:pPr>
        <w:pStyle w:val="Compact"/>
        <w:numPr>
          <w:ilvl w:val="1"/>
          <w:numId w:val="1016"/>
        </w:numPr>
      </w:pPr>
      <w:r>
        <w:t xml:space="preserve">Communications that merely promote health in a general manner and do not promote a specific product or service;</w:t>
      </w:r>
    </w:p>
    <w:p>
      <w:pPr>
        <w:pStyle w:val="Compact"/>
        <w:numPr>
          <w:ilvl w:val="1"/>
          <w:numId w:val="1016"/>
        </w:numPr>
      </w:pPr>
      <w:r>
        <w:t xml:space="preserve">Communications to promote health fairs, wellness classes, support groups, and population-based activities to improve health or reduce health costs; or</w:t>
      </w:r>
    </w:p>
    <w:p>
      <w:pPr>
        <w:pStyle w:val="Compact"/>
        <w:numPr>
          <w:ilvl w:val="1"/>
          <w:numId w:val="1016"/>
        </w:numPr>
      </w:pPr>
      <w:r>
        <w:t xml:space="preserve">Sending information about government-sponsored programs (e.g., Medicaid, Medicare).</w:t>
      </w:r>
    </w:p>
    <w:p>
      <w:pPr>
        <w:pStyle w:val="FirstParagraph"/>
      </w:pPr>
      <w:r>
        <w:t xml:space="preserve">“</w:t>
      </w:r>
      <w:r>
        <w:rPr>
          <w:b/>
          <w:bCs/>
        </w:rPr>
        <w:t xml:space="preserve">Financial Remuneration</w:t>
      </w:r>
      <w:r>
        <w:t xml:space="preserve">”</w:t>
      </w:r>
      <w:r>
        <w:t xml:space="preserve"> </w:t>
      </w:r>
      <w:r>
        <w:t xml:space="preserve">means direct or indirect payment to Company or its Business Associate from or on behalf of a third party whose product or service is being described in exchange for making a communication about the third party’s product or service (i.e., to qualify as Financial Remuneration, the remuneration must be for the purpose of making the communication).</w:t>
      </w:r>
    </w:p>
    <w:p>
      <w:pPr>
        <w:pStyle w:val="Compact"/>
        <w:numPr>
          <w:ilvl w:val="0"/>
          <w:numId w:val="1017"/>
        </w:numPr>
      </w:pPr>
      <w:r>
        <w:rPr>
          <w:i/>
          <w:iCs/>
        </w:rPr>
        <w:t xml:space="preserve">Example.</w:t>
      </w:r>
      <w:r>
        <w:t xml:space="preserve"> </w:t>
      </w:r>
      <w:r>
        <w:t xml:space="preserve">If a third party provides Financial Remuneration to Company in order for Company to develop a disease management program, Company can use PHI to inform patients about Company’s disease management program because the Financial Remuneration was not received in exchange for making the communication and the communication was not about the third party’s products or services (i.e., the communication is about Company’s disease management program).</w:t>
      </w:r>
      <w:r>
        <w:t xml:space="preserve"> </w:t>
      </w:r>
      <w:r>
        <w:rPr>
          <w:i/>
          <w:iCs/>
        </w:rPr>
        <w:t xml:space="preserve">In comparison</w:t>
      </w:r>
      <w:r>
        <w:t xml:space="preserve">, if a third party provides Financial Remuneration for Company to inform its patients about the third party’s disease management program, this would be considered Marketing and patient authorization would be required in order to use or disclose the patient information.</w:t>
      </w:r>
    </w:p>
    <w:p>
      <w:pPr>
        <w:pStyle w:val="Compact"/>
        <w:numPr>
          <w:ilvl w:val="0"/>
          <w:numId w:val="1017"/>
        </w:numPr>
      </w:pPr>
      <w:r>
        <w:t xml:space="preserve">Financial Remuneration does</w:t>
      </w:r>
      <w:r>
        <w:t xml:space="preserve"> </w:t>
      </w:r>
      <w:r>
        <w:rPr>
          <w:b/>
          <w:bCs/>
        </w:rPr>
        <w:t xml:space="preserve">not</w:t>
      </w:r>
      <w:r>
        <w:t xml:space="preserve"> </w:t>
      </w:r>
      <w:r>
        <w:t xml:space="preserve">include nonfinancial benefits, such as in-kind benefits, provided to a covered entity in exchange for making a communication about a product or service.</w:t>
      </w:r>
    </w:p>
    <w:p>
      <w:pPr>
        <w:pStyle w:val="Compact"/>
        <w:numPr>
          <w:ilvl w:val="0"/>
          <w:numId w:val="1017"/>
        </w:numPr>
      </w:pPr>
      <w:r>
        <w:t xml:space="preserve">Company may provide refill reminders or communications about a drug or biologic currently being prescribed for the Individual, even if Financial Remuneration is exchanged, provided that the Financial Remuneration provided in exchange for making the communication is reasonably related to Company’s cost of making the communication (the costs of labor, supplies, and postage to make the communication) and does not provide Company with a profit.</w:t>
      </w:r>
    </w:p>
    <w:p>
      <w:pPr>
        <w:pStyle w:val="Compact"/>
        <w:numPr>
          <w:ilvl w:val="0"/>
          <w:numId w:val="1017"/>
        </w:numPr>
      </w:pPr>
      <w:r>
        <w:t xml:space="preserve">If Financial Remuneration is otherwise received by Company in exchange for making a communication about a third party’s services or products, even if the communication would otherwise be considered Health Care Operations or Treatment as discussed above, the communication is considered Marketing, and Step 2 below must be followed.</w:t>
      </w:r>
    </w:p>
    <w:bookmarkEnd w:id="35"/>
    <w:bookmarkStart w:id="36" w:name="Xdb6b07c306082b58d6b36f2e9d34d3e8d15c8e4"/>
    <w:p>
      <w:pPr>
        <w:pStyle w:val="Heading4"/>
      </w:pPr>
      <w:r>
        <w:t xml:space="preserve">6.2 Step 1 — Determine whether the communication is Marketing</w:t>
      </w:r>
    </w:p>
    <w:p>
      <w:pPr>
        <w:pStyle w:val="FirstParagraph"/>
      </w:pPr>
      <w:r>
        <w:t xml:space="preserve">Following the definitions of Marketing and Financial Remuneration above, personnel must first determine whether a proposed communication is Marketing. If the communication is considered Marketing, personnel must follow Step 2 below.</w:t>
      </w:r>
    </w:p>
    <w:p>
      <w:pPr>
        <w:pStyle w:val="BodyText"/>
      </w:pPr>
      <w:r>
        <w:t xml:space="preserve">If it is determined that the communication is</w:t>
      </w:r>
      <w:r>
        <w:t xml:space="preserve"> </w:t>
      </w:r>
      <w:r>
        <w:rPr>
          <w:b/>
          <w:bCs/>
        </w:rPr>
        <w:t xml:space="preserve">not</w:t>
      </w:r>
      <w:r>
        <w:t xml:space="preserve"> </w:t>
      </w:r>
      <w:r>
        <w:t xml:space="preserve">Marketing because one of the exceptions is met and no prohibited Financial Remuneration is received, PHI may be used to make the communication consistent with Company’s policies regarding Health Care Operations and Treatment.</w:t>
      </w:r>
    </w:p>
    <w:bookmarkEnd w:id="36"/>
    <w:bookmarkStart w:id="38" w:name="step-2-obtain-patient-authorization"/>
    <w:p>
      <w:pPr>
        <w:pStyle w:val="Heading4"/>
      </w:pPr>
      <w:r>
        <w:t xml:space="preserve">6.3 Step 2 — Obtain patient authorization</w:t>
      </w:r>
    </w:p>
    <w:p>
      <w:pPr>
        <w:pStyle w:val="FirstParagraph"/>
      </w:pPr>
      <w:r>
        <w:t xml:space="preserve">If it is determined that a communication falls within the HIPAA definition of Marketing, Company must obtain the patient’s written HIPAA authorization prior to using or disclosing the PHI for Marketing. If the Marketing involves direct or indirect Financial Remuneration to Company from a third party, the authorization must state that Company is receiving such Financial Remuneration.</w:t>
      </w:r>
    </w:p>
    <w:p>
      <w:pPr>
        <w:pStyle w:val="BodyText"/>
      </w:pPr>
      <w:r>
        <w:t xml:space="preserve">Company</w:t>
      </w:r>
      <w:r>
        <w:t xml:space="preserve"> </w:t>
      </w:r>
      <w:r>
        <w:rPr>
          <w:b/>
          <w:bCs/>
        </w:rPr>
        <w:t xml:space="preserve">may not</w:t>
      </w:r>
      <w:r>
        <w:t xml:space="preserve"> </w:t>
      </w:r>
      <w:r>
        <w:t xml:space="preserve">give away or sell lists of patients for Marketing purposes without obtaining a HIPAA authorization from each patient on the list. If a Business Associate is engaged to assist Company with Marketing (e.g., a telemarketer or marketing-automation platform), Company will require compliance by the Business Associate with all applicable HIPAA rules regarding Marketing and will execute a Business Associate Agreement before any PHI is disclosed (see</w:t>
      </w:r>
      <w:r>
        <w:t xml:space="preserve"> </w:t>
      </w:r>
      <w:hyperlink r:id="rId37">
        <w:r>
          <w:rPr>
            <w:rStyle w:val="Hyperlink"/>
          </w:rPr>
          <w:t xml:space="preserve">vendor-and-business-associates.md</w:t>
        </w:r>
      </w:hyperlink>
      <w:r>
        <w:t xml:space="preserve">).</w:t>
      </w:r>
    </w:p>
    <w:bookmarkEnd w:id="38"/>
    <w:bookmarkStart w:id="39" w:name="step-3-obtain-advice-if-unsure"/>
    <w:p>
      <w:pPr>
        <w:pStyle w:val="Heading4"/>
      </w:pPr>
      <w:r>
        <w:t xml:space="preserve">6.4 Step 3 — Obtain advice if unsure</w:t>
      </w:r>
    </w:p>
    <w:p>
      <w:pPr>
        <w:pStyle w:val="FirstParagraph"/>
      </w:pPr>
      <w:r>
        <w:t xml:space="preserve">In certain circumstances, it may be difficult to determine whether a particular communication is considered Marketing. Any questions regarding Marketing issues must be reviewed by the Privacy Officer prior to making the communication.</w:t>
      </w:r>
    </w:p>
    <w:bookmarkEnd w:id="39"/>
    <w:bookmarkEnd w:id="40"/>
    <w:bookmarkEnd w:id="41"/>
    <w:bookmarkStart w:id="42" w:name="iv.-training-awareness"/>
    <w:p>
      <w:pPr>
        <w:pStyle w:val="Heading2"/>
      </w:pPr>
      <w:r>
        <w:t xml:space="preserve">IV. Training &amp; Awareness</w:t>
      </w:r>
    </w:p>
    <w:p>
      <w:pPr>
        <w:pStyle w:val="FirstParagraph"/>
      </w:pPr>
      <w:r>
        <w:t xml:space="preserve">All personnel shall receive training on this Policy at the time of employment or engagement, with annual updates thereafter, in accordance with the</w:t>
      </w:r>
      <w:r>
        <w:t xml:space="preserve"> </w:t>
      </w:r>
      <w:hyperlink r:id="rId17">
        <w:r>
          <w:rPr>
            <w:rStyle w:val="Hyperlink"/>
          </w:rPr>
          <w:t xml:space="preserve">governance-and-risk-management.md</w:t>
        </w:r>
      </w:hyperlink>
      <w:r>
        <w:t xml:space="preserve"> </w:t>
      </w:r>
      <w:r>
        <w:t xml:space="preserve">Training Program. The Privacy Officer maintains training records.</w:t>
      </w:r>
    </w:p>
    <w:bookmarkEnd w:id="42"/>
    <w:bookmarkStart w:id="43" w:name="v.-sanctions"/>
    <w:p>
      <w:pPr>
        <w:pStyle w:val="Heading2"/>
      </w:pPr>
      <w:r>
        <w:t xml:space="preserve">V. Sanctions</w:t>
      </w:r>
    </w:p>
    <w:p>
      <w:pPr>
        <w:pStyle w:val="FirstParagraph"/>
      </w:pPr>
      <w:r>
        <w:t xml:space="preserve">Any personnel member who violates this Policy will be subject to disciplinary action, up to and including termination of employment or engagement, in accordance with Company HR policy. Severity is assessed based on intent, the nature of the PHI involved, and impact on patient privacy and Company information security. Sanctions are documented and tracked by the Privacy Officer.</w:t>
      </w:r>
    </w:p>
    <w:bookmarkEnd w:id="43"/>
    <w:bookmarkStart w:id="46" w:name="vi.-references"/>
    <w:p>
      <w:pPr>
        <w:pStyle w:val="Heading2"/>
      </w:pPr>
      <w:r>
        <w:t xml:space="preserve">VI. References</w:t>
      </w:r>
    </w:p>
    <w:p>
      <w:pPr>
        <w:pStyle w:val="Compact"/>
        <w:numPr>
          <w:ilvl w:val="0"/>
          <w:numId w:val="1018"/>
        </w:numPr>
      </w:pPr>
      <w:r>
        <w:t xml:space="preserve">45 CFR §164.501 — Definitions (including Marketing, Health Care Operations, Treatment, Payment).</w:t>
      </w:r>
    </w:p>
    <w:p>
      <w:pPr>
        <w:pStyle w:val="Compact"/>
        <w:numPr>
          <w:ilvl w:val="0"/>
          <w:numId w:val="1018"/>
        </w:numPr>
      </w:pPr>
      <w:r>
        <w:t xml:space="preserve">45 CFR §164.502 — General rules for uses and disclosures of PHI, including the Minimum Necessary Rule and de-identification.</w:t>
      </w:r>
    </w:p>
    <w:p>
      <w:pPr>
        <w:pStyle w:val="Compact"/>
        <w:numPr>
          <w:ilvl w:val="0"/>
          <w:numId w:val="1018"/>
        </w:numPr>
      </w:pPr>
      <w:r>
        <w:t xml:space="preserve">45 CFR §164.508 — Uses and disclosures for which an authorization is required (including Marketing authorizations).</w:t>
      </w:r>
    </w:p>
    <w:p>
      <w:pPr>
        <w:pStyle w:val="Compact"/>
        <w:numPr>
          <w:ilvl w:val="0"/>
          <w:numId w:val="1018"/>
        </w:numPr>
      </w:pPr>
      <w:r>
        <w:t xml:space="preserve">45 CFR §164.512 — Uses and disclosures for which an authorization or opportunity to agree or object is not required (public health, health oversight, law enforcement, judicial proceedings, etc.).</w:t>
      </w:r>
    </w:p>
    <w:p>
      <w:pPr>
        <w:pStyle w:val="Compact"/>
        <w:numPr>
          <w:ilvl w:val="0"/>
          <w:numId w:val="1018"/>
        </w:numPr>
      </w:pPr>
      <w:r>
        <w:t xml:space="preserve">45 CFR §164.514 — Other requirements relating to uses and disclosures of PHI, including the de-identification standard, the Minimum Necessary implementation specifications, Limited Data Sets, and Data Use Agreements.</w:t>
      </w:r>
    </w:p>
    <w:p>
      <w:pPr>
        <w:pStyle w:val="Compact"/>
        <w:numPr>
          <w:ilvl w:val="0"/>
          <w:numId w:val="1018"/>
        </w:numPr>
      </w:pPr>
      <w:r>
        <w:t xml:space="preserve">U.S. Department of Health &amp; Human Services,</w:t>
      </w:r>
      <w:r>
        <w:t xml:space="preserve"> </w:t>
      </w:r>
      <w:r>
        <w:rPr>
          <w:i/>
          <w:iCs/>
        </w:rPr>
        <w:t xml:space="preserve">Protecting the Privacy of Patients’ Health Information</w:t>
      </w:r>
      <w:r>
        <w:t xml:space="preserve"> </w:t>
      </w:r>
      <w:r>
        <w:t xml:space="preserve">(July 6, 2001).</w:t>
      </w:r>
    </w:p>
    <w:p>
      <w:pPr>
        <w:pStyle w:val="Compact"/>
        <w:numPr>
          <w:ilvl w:val="0"/>
          <w:numId w:val="1018"/>
        </w:numPr>
      </w:pPr>
      <w:r>
        <w:t xml:space="preserve">Related Millie policies:</w:t>
      </w:r>
    </w:p>
    <w:p>
      <w:pPr>
        <w:pStyle w:val="Compact"/>
        <w:numPr>
          <w:ilvl w:val="1"/>
          <w:numId w:val="1019"/>
        </w:numPr>
      </w:pPr>
      <w:hyperlink r:id="rId44">
        <w:r>
          <w:rPr>
            <w:rStyle w:val="Hyperlink"/>
          </w:rPr>
          <w:t xml:space="preserve">hipaa-definitions.md</w:t>
        </w:r>
      </w:hyperlink>
      <w:r>
        <w:t xml:space="preserve"> </w:t>
      </w:r>
      <w:r>
        <w:t xml:space="preserve">— defined terms used in this Policy.</w:t>
      </w:r>
    </w:p>
    <w:p>
      <w:pPr>
        <w:pStyle w:val="Compact"/>
        <w:numPr>
          <w:ilvl w:val="1"/>
          <w:numId w:val="1019"/>
        </w:numPr>
      </w:pPr>
      <w:hyperlink r:id="rId20">
        <w:r>
          <w:rPr>
            <w:rStyle w:val="Hyperlink"/>
          </w:rPr>
          <w:t xml:space="preserve">patient-rights.md</w:t>
        </w:r>
      </w:hyperlink>
      <w:r>
        <w:t xml:space="preserve"> </w:t>
      </w:r>
      <w:r>
        <w:t xml:space="preserve">— accounting of disclosures, access, and amendment rights.</w:t>
      </w:r>
    </w:p>
    <w:p>
      <w:pPr>
        <w:pStyle w:val="Compact"/>
        <w:numPr>
          <w:ilvl w:val="1"/>
          <w:numId w:val="1019"/>
        </w:numPr>
      </w:pPr>
      <w:hyperlink r:id="rId13">
        <w:r>
          <w:rPr>
            <w:rStyle w:val="Hyperlink"/>
          </w:rPr>
          <w:t xml:space="preserve">technical-safeguards.md</w:t>
        </w:r>
      </w:hyperlink>
      <w:r>
        <w:t xml:space="preserve"> </w:t>
      </w:r>
      <w:r>
        <w:t xml:space="preserve">— encryption, access control, and key-management controls referenced for re-identification and LDS handling.</w:t>
      </w:r>
    </w:p>
    <w:p>
      <w:pPr>
        <w:pStyle w:val="Compact"/>
        <w:numPr>
          <w:ilvl w:val="1"/>
          <w:numId w:val="1019"/>
        </w:numPr>
      </w:pPr>
      <w:hyperlink r:id="rId45">
        <w:r>
          <w:rPr>
            <w:rStyle w:val="Hyperlink"/>
          </w:rPr>
          <w:t xml:space="preserve">operational-safeguards.md</w:t>
        </w:r>
      </w:hyperlink>
      <w:r>
        <w:t xml:space="preserve"> </w:t>
      </w:r>
      <w:r>
        <w:t xml:space="preserve">— administrative and physical safeguards for oral/fax/email/paper PHI handling.</w:t>
      </w:r>
    </w:p>
    <w:p>
      <w:pPr>
        <w:pStyle w:val="Compact"/>
        <w:numPr>
          <w:ilvl w:val="1"/>
          <w:numId w:val="1019"/>
        </w:numPr>
      </w:pPr>
      <w:hyperlink r:id="rId14">
        <w:r>
          <w:rPr>
            <w:rStyle w:val="Hyperlink"/>
          </w:rPr>
          <w:t xml:space="preserve">incident-and-breach-response.md</w:t>
        </w:r>
      </w:hyperlink>
      <w:r>
        <w:t xml:space="preserve"> </w:t>
      </w:r>
      <w:r>
        <w:t xml:space="preserve">— incident reporting and Breach assessment for impermissible uses or disclosures.</w:t>
      </w:r>
    </w:p>
    <w:p>
      <w:pPr>
        <w:pStyle w:val="Compact"/>
        <w:numPr>
          <w:ilvl w:val="1"/>
          <w:numId w:val="1019"/>
        </w:numPr>
      </w:pPr>
      <w:hyperlink r:id="rId37">
        <w:r>
          <w:rPr>
            <w:rStyle w:val="Hyperlink"/>
          </w:rPr>
          <w:t xml:space="preserve">vendor-and-business-associates.md</w:t>
        </w:r>
      </w:hyperlink>
      <w:r>
        <w:t xml:space="preserve"> </w:t>
      </w:r>
      <w:r>
        <w:t xml:space="preserve">— Business Associate Agreement requirements for vendors who use PHI for Marketing or who receive Limited Data Sets.</w:t>
      </w:r>
    </w:p>
    <w:p>
      <w:pPr>
        <w:pStyle w:val="Compact"/>
        <w:numPr>
          <w:ilvl w:val="1"/>
          <w:numId w:val="1019"/>
        </w:numPr>
      </w:pPr>
      <w:hyperlink r:id="rId17">
        <w:r>
          <w:rPr>
            <w:rStyle w:val="Hyperlink"/>
          </w:rPr>
          <w:t xml:space="preserve">governance-and-risk-management.md</w:t>
        </w:r>
      </w:hyperlink>
      <w:r>
        <w:t xml:space="preserve"> </w:t>
      </w:r>
      <w:r>
        <w:t xml:space="preserve">— Training Program, sanctions framework, and records retention.</w:t>
      </w:r>
    </w:p>
    <w:bookmarkEnd w:id="46"/>
    <w:bookmarkStart w:id="47" w:name="vii.-definitions-used-in-this-policy"/>
    <w:p>
      <w:pPr>
        <w:pStyle w:val="Heading2"/>
      </w:pPr>
      <w:r>
        <w:t xml:space="preserve">VII. Definitions used in this Policy</w:t>
      </w:r>
    </w:p>
    <w:p>
      <w:pPr>
        <w:pStyle w:val="FirstParagraph"/>
      </w:pPr>
      <w:r>
        <w:t xml:space="preserve">Defined terms (PHI, Treatment, Payment, Health Care Operations, Marketing, etc.) follow</w:t>
      </w:r>
      <w:r>
        <w:t xml:space="preserve"> </w:t>
      </w:r>
      <w:hyperlink r:id="rId44">
        <w:r>
          <w:rPr>
            <w:rStyle w:val="Hyperlink"/>
          </w:rPr>
          <w:t xml:space="preserve">hipaa-definitions.md</w:t>
        </w:r>
      </w:hyperlink>
      <w:r>
        <w:t xml:space="preserve">. Terms specific to this Policy:</w:t>
      </w:r>
    </w:p>
    <w:p>
      <w:pPr>
        <w:pStyle w:val="Compact"/>
        <w:numPr>
          <w:ilvl w:val="0"/>
          <w:numId w:val="1020"/>
        </w:numPr>
      </w:pPr>
      <w:r>
        <w:rPr>
          <w:b/>
          <w:bCs/>
        </w:rPr>
        <w:t xml:space="preserve">Financial Remuneration.</w:t>
      </w:r>
      <w:r>
        <w:t xml:space="preserve"> </w:t>
      </w:r>
      <w:r>
        <w:t xml:space="preserve">Direct or indirect payment to Company or its Business Associate from or on behalf of a third party whose product or service is being described, in exchange for making a communication about that third party’s product or service. Excludes nonfinancial/in-kind benefits and refill-reminder cost-reimbursement. See Section 6.1 for the full definition and worked example.</w:t>
      </w:r>
    </w:p>
    <w:p>
      <w:pPr>
        <w:pStyle w:val="Compact"/>
        <w:numPr>
          <w:ilvl w:val="0"/>
          <w:numId w:val="1020"/>
        </w:numPr>
      </w:pPr>
      <w:r>
        <w:rPr>
          <w:b/>
          <w:bCs/>
        </w:rPr>
        <w:t xml:space="preserve">Limited Data Set (</w:t>
      </w:r>
      <w:r>
        <w:rPr>
          <w:b/>
          <w:bCs/>
        </w:rPr>
        <w:t xml:space="preserve">“LDS”</w:t>
      </w:r>
      <w:r>
        <w:rPr>
          <w:b/>
          <w:bCs/>
        </w:rPr>
        <w:t xml:space="preserve">).</w:t>
      </w:r>
      <w:r>
        <w:t xml:space="preserve"> </w:t>
      </w:r>
      <w:r>
        <w:t xml:space="preserve">A set of PHI from which the 16 direct identifiers listed in Section 5.2 have been removed. May be disclosed only for research, public health, or Health Care Operations, and only pursuant to an executed Data Use Agreement.</w:t>
      </w:r>
    </w:p>
    <w:p>
      <w:pPr>
        <w:pStyle w:val="Compact"/>
        <w:numPr>
          <w:ilvl w:val="0"/>
          <w:numId w:val="1020"/>
        </w:numPr>
      </w:pPr>
      <w:r>
        <w:rPr>
          <w:b/>
          <w:bCs/>
        </w:rPr>
        <w:t xml:space="preserve">Data Use Agreement (</w:t>
      </w:r>
      <w:r>
        <w:rPr>
          <w:b/>
          <w:bCs/>
        </w:rPr>
        <w:t xml:space="preserve">“DUA”</w:t>
      </w:r>
      <w:r>
        <w:rPr>
          <w:b/>
          <w:bCs/>
        </w:rPr>
        <w:t xml:space="preserve">).</w:t>
      </w:r>
      <w:r>
        <w:t xml:space="preserve"> </w:t>
      </w:r>
      <w:r>
        <w:t xml:space="preserve">The written agreement between Company and a recipient of a Limited Data Set that limits the recipient’s use, disclosure, and onward sharing of the LDS. Template at Appendix A.</w:t>
      </w:r>
    </w:p>
    <w:p>
      <w:pPr>
        <w:pStyle w:val="Compact"/>
        <w:numPr>
          <w:ilvl w:val="0"/>
          <w:numId w:val="1020"/>
        </w:numPr>
      </w:pPr>
      <w:r>
        <w:rPr>
          <w:b/>
          <w:bCs/>
        </w:rPr>
        <w:t xml:space="preserve">Safe Harbor (de-identification).</w:t>
      </w:r>
      <w:r>
        <w:t xml:space="preserve"> </w:t>
      </w:r>
      <w:r>
        <w:t xml:space="preserve">The Section 3.2 method of de-identifying PHI by removing the 18 enumerated identifiers and confirming Company has no actual knowledge that the residual information could be used to identify an Individual.</w:t>
      </w:r>
    </w:p>
    <w:p>
      <w:pPr>
        <w:pStyle w:val="Compact"/>
        <w:numPr>
          <w:ilvl w:val="0"/>
          <w:numId w:val="1020"/>
        </w:numPr>
      </w:pPr>
      <w:r>
        <w:rPr>
          <w:b/>
          <w:bCs/>
        </w:rPr>
        <w:t xml:space="preserve">Expert Determination.</w:t>
      </w:r>
      <w:r>
        <w:t xml:space="preserve"> </w:t>
      </w:r>
      <w:r>
        <w:t xml:space="preserve">The Section 3.1 alternative de-identification method, in which a qualified statistician documents that the risk of re-identification is very small.</w:t>
      </w:r>
    </w:p>
    <w:p>
      <w:pPr>
        <w:pStyle w:val="Compact"/>
        <w:numPr>
          <w:ilvl w:val="0"/>
          <w:numId w:val="1020"/>
        </w:numPr>
      </w:pPr>
      <w:r>
        <w:rPr>
          <w:b/>
          <w:bCs/>
        </w:rPr>
        <w:t xml:space="preserve">Re-identification code.</w:t>
      </w:r>
      <w:r>
        <w:t xml:space="preserve"> </w:t>
      </w:r>
      <w:r>
        <w:t xml:space="preserve">A secure code, algorithm, table, or other tool that allows Company (and only Company) to re-associate de-identified information with the Individual to whom it pertains, subject to Section 4 controls.</w:t>
      </w:r>
    </w:p>
    <w:bookmarkEnd w:id="47"/>
    <w:bookmarkStart w:id="48" w:name="viii.-revision-history"/>
    <w:p>
      <w:pPr>
        <w:pStyle w:val="Heading2"/>
      </w:pPr>
      <w:r>
        <w:t xml:space="preserve">VIII. Revision history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Description</w:t>
            </w:r>
          </w:p>
        </w:tc>
      </w:tr>
      <w:tr>
        <w:tc>
          <w:tcPr/>
          <w:p>
            <w:pPr>
              <w:pStyle w:val="Compact"/>
            </w:pPr>
            <w:r>
              <w:t xml:space="preserve">1.0</w:t>
            </w:r>
          </w:p>
        </w:tc>
        <w:tc>
          <w:tcPr/>
          <w:p>
            <w:pPr>
              <w:pStyle w:val="Compact"/>
            </w:pPr>
            <w:r>
              <w:t xml:space="preserve">2022-05-18</w:t>
            </w:r>
          </w:p>
        </w:tc>
        <w:tc>
          <w:tcPr/>
          <w:p>
            <w:pPr>
              <w:pStyle w:val="Compact"/>
            </w:pPr>
            <w:r>
              <w:t xml:space="preserve">Privacy Officer</w:t>
            </w:r>
          </w:p>
        </w:tc>
        <w:tc>
          <w:tcPr/>
          <w:p>
            <w:pPr>
              <w:pStyle w:val="Compact"/>
            </w:pPr>
            <w:r>
              <w:t xml:space="preserve">Original L-002, L-005, L-006, L-010 policies issued (effective date).</w:t>
            </w:r>
          </w:p>
        </w:tc>
      </w:tr>
      <w:tr>
        <w:tc>
          <w:tcPr/>
          <w:p>
            <w:pPr>
              <w:pStyle w:val="Compact"/>
            </w:pPr>
            <w:r>
              <w:t xml:space="preserve">2.0</w:t>
            </w:r>
          </w:p>
        </w:tc>
        <w:tc>
          <w:tcPr/>
          <w:p>
            <w:pPr>
              <w:pStyle w:val="Compact"/>
            </w:pPr>
            <w:r>
              <w:t xml:space="preserve">2026-05-24</w:t>
            </w:r>
          </w:p>
        </w:tc>
        <w:tc>
          <w:tcPr/>
          <w:p>
            <w:pPr>
              <w:pStyle w:val="Compact"/>
            </w:pPr>
            <w:r>
              <w:t xml:space="preserve">Privacy Officer</w:t>
            </w:r>
          </w:p>
        </w:tc>
        <w:tc>
          <w:tcPr/>
          <w:p>
            <w:pPr>
              <w:pStyle w:val="Compact"/>
            </w:pPr>
            <w:r>
              <w:t xml:space="preserve">Consolidated L-002 (Use &amp; Disclosure for Legal/Public Health/Regulatory), L-005 (De-Identifying &amp; Re-Identifying PHI / Limited Data Sets), L-006 (Marketing), and L-010 (Minimum Necessary) into a single PHI Use, Disclosure &amp; De-Identification Policy. Collapsed eight L-002 subsections (law enforcement, military, national security, correctional institutions, organ donation, workers’ compensation, coroners, funeral directors) into a single Privacy-Officer-approval paragraph in Section 2.4. Preserved verbatim: 18-identifier Safe Harbor list, Marketing/Financial Remuneration definitions, Data Use Agreement template. Replaced</w:t>
            </w:r>
            <w:r>
              <w:t xml:space="preserve"> </w:t>
            </w:r>
            <w:r>
              <w:t xml:space="preserve">“Chief Privacy Officer”</w:t>
            </w:r>
            <w:r>
              <w:t xml:space="preserve"> </w:t>
            </w:r>
            <w:r>
              <w:t xml:space="preserve">/</w:t>
            </w:r>
            <w:r>
              <w:t xml:space="preserve"> </w:t>
            </w:r>
            <w:r>
              <w:t xml:space="preserve">“Chief Security Officer”</w:t>
            </w:r>
            <w:r>
              <w:t xml:space="preserve"> </w:t>
            </w:r>
            <w:r>
              <w:t xml:space="preserve">references with</w:t>
            </w:r>
            <w:r>
              <w:t xml:space="preserve"> </w:t>
            </w:r>
            <w:r>
              <w:t xml:space="preserve">“Privacy Officer”</w:t>
            </w:r>
            <w:r>
              <w:t xml:space="preserve"> </w:t>
            </w:r>
            <w:r>
              <w:t xml:space="preserve">/</w:t>
            </w:r>
            <w:r>
              <w:t xml:space="preserve"> </w:t>
            </w:r>
            <w:r>
              <w:t xml:space="preserve">“Security Officer”</w:t>
            </w:r>
            <w:r>
              <w:t xml:space="preserve"> </w:t>
            </w:r>
            <w:r>
              <w:t xml:space="preserve">for consistency.</w:t>
            </w:r>
          </w:p>
        </w:tc>
      </w:tr>
    </w:tbl>
    <w:p>
      <w:r>
        <w:pict>
          <v:rect style="width:0;height:1.5pt" o:hralign="center" o:hrstd="t" o:hr="t"/>
        </w:pict>
      </w:r>
    </w:p>
    <w:bookmarkEnd w:id="48"/>
    <w:bookmarkStart w:id="49" w:name="appendix-a-data-use-agreement-template"/>
    <w:p>
      <w:pPr>
        <w:pStyle w:val="Heading2"/>
      </w:pPr>
      <w:r>
        <w:t xml:space="preserve">Appendix A — Data Use Agreement Template</w:t>
      </w:r>
    </w:p>
    <w:p>
      <w:pPr>
        <w:pStyle w:val="BlockText"/>
      </w:pPr>
      <w:r>
        <w:rPr>
          <w:b/>
          <w:bCs/>
        </w:rPr>
        <w:t xml:space="preserve">Instructions.</w:t>
      </w:r>
      <w:r>
        <w:t xml:space="preserve"> </w:t>
      </w:r>
      <w:r>
        <w:t xml:space="preserve">Use this template, with Privacy Officer approval, whenever Company discloses a Limited Data Set to a recipient. Bracketed italics indicate fields to be completed at execution.</w:t>
      </w:r>
    </w:p>
    <w:p>
      <w:pPr>
        <w:pStyle w:val="FirstParagraph"/>
      </w:pPr>
      <w:r>
        <w:rPr>
          <w:b/>
          <w:bCs/>
        </w:rPr>
        <w:t xml:space="preserve">This Data Use Agreement</w:t>
      </w:r>
      <w:r>
        <w:t xml:space="preserve">, dated as of ____________, 20___ (the</w:t>
      </w:r>
      <w:r>
        <w:t xml:space="preserve"> </w:t>
      </w:r>
      <w:r>
        <w:t xml:space="preserve">“</w:t>
      </w:r>
      <w:r>
        <w:rPr>
          <w:b/>
          <w:bCs/>
        </w:rPr>
        <w:t xml:space="preserve">Agreement</w:t>
      </w:r>
      <w:r>
        <w:t xml:space="preserve">”</w:t>
      </w:r>
      <w:r>
        <w:t xml:space="preserve">), is by and between Company (the</w:t>
      </w:r>
      <w:r>
        <w:t xml:space="preserve"> </w:t>
      </w:r>
      <w:r>
        <w:t xml:space="preserve">“</w:t>
      </w:r>
      <w:r>
        <w:rPr>
          <w:b/>
          <w:bCs/>
        </w:rPr>
        <w:t xml:space="preserve">Covered Entity</w:t>
      </w:r>
      <w:r>
        <w:t xml:space="preserve">”</w:t>
      </w:r>
      <w:r>
        <w:t xml:space="preserve">) and</w:t>
      </w:r>
      <w:r>
        <w:t xml:space="preserve"> </w:t>
      </w:r>
      <w:r>
        <w:rPr>
          <w:b/>
          <w:bCs/>
        </w:rPr>
        <w:t xml:space="preserve">_________________________</w:t>
      </w:r>
      <w:r>
        <w:t xml:space="preserve"> </w:t>
      </w:r>
      <w:r>
        <w:t xml:space="preserve">(the</w:t>
      </w:r>
      <w:r>
        <w:t xml:space="preserve"> </w:t>
      </w:r>
      <w:r>
        <w:t xml:space="preserve">“</w:t>
      </w:r>
      <w:r>
        <w:rPr>
          <w:b/>
          <w:bCs/>
        </w:rPr>
        <w:t xml:space="preserve">Recipient</w:t>
      </w:r>
      <w:r>
        <w:t xml:space="preserve">”</w:t>
      </w:r>
      <w:r>
        <w:t xml:space="preserve">).</w:t>
      </w:r>
    </w:p>
    <w:p>
      <w:pPr>
        <w:pStyle w:val="BodyText"/>
      </w:pPr>
      <w:r>
        <w:t xml:space="preserve">WHEREAS, Covered Entity has created a Limited Data Set which contains PHI in full compliance with the federal Health Insurance Portability and Accountability Act of 1996, Pub. L. No. 104-191 (</w:t>
      </w:r>
      <w:r>
        <w:t xml:space="preserve">“</w:t>
      </w:r>
      <w:r>
        <w:rPr>
          <w:b/>
          <w:bCs/>
        </w:rPr>
        <w:t xml:space="preserve">HIPAA</w:t>
      </w:r>
      <w:r>
        <w:t xml:space="preserve">”</w:t>
      </w:r>
      <w:r>
        <w:t xml:space="preserve">) and related regulations promulgated by the Secretary (the</w:t>
      </w:r>
      <w:r>
        <w:t xml:space="preserve"> </w:t>
      </w:r>
      <w:r>
        <w:t xml:space="preserve">“</w:t>
      </w:r>
      <w:r>
        <w:rPr>
          <w:b/>
          <w:bCs/>
        </w:rPr>
        <w:t xml:space="preserve">HIPAA Regulations</w:t>
      </w:r>
      <w:r>
        <w:t xml:space="preserve">”</w:t>
      </w:r>
      <w:r>
        <w:t xml:space="preserve">) and specifically 45 CFR §164.514(e).</w:t>
      </w:r>
    </w:p>
    <w:p>
      <w:pPr>
        <w:pStyle w:val="BodyText"/>
      </w:pPr>
      <w:r>
        <w:t xml:space="preserve">WHEREAS, Recipient desires to use and/or disclose the PHI in the Limited Data Set which was created by Covered Entity and is subject to protection under the HIPAA Regulations.</w:t>
      </w:r>
    </w:p>
    <w:p>
      <w:pPr>
        <w:pStyle w:val="BodyText"/>
      </w:pPr>
      <w:r>
        <w:t xml:space="preserve">WHEREAS, in light of the foregoing and the requirements of the HIPAA Regulations, Recipient and Covered Entity agree to be bound by the following terms and conditions:</w:t>
      </w:r>
    </w:p>
    <w:p>
      <w:pPr>
        <w:numPr>
          <w:ilvl w:val="0"/>
          <w:numId w:val="1021"/>
        </w:numPr>
      </w:pPr>
      <w:r>
        <w:rPr>
          <w:b/>
          <w:bCs/>
        </w:rPr>
        <w:t xml:space="preserve">Definitions.</w:t>
      </w:r>
      <w:r>
        <w:t xml:space="preserve"> </w:t>
      </w:r>
      <w:r>
        <w:t xml:space="preserve">Terms used, but not otherwise defined, in this Agreement shall have the same meaning as those terms in the Standards for Privacy of Individually Identifiable Health Information at 45 CFR part 160 and part 164, subparts A and E (the</w:t>
      </w:r>
      <w:r>
        <w:t xml:space="preserve"> </w:t>
      </w:r>
      <w:r>
        <w:t xml:space="preserve">“</w:t>
      </w:r>
      <w:r>
        <w:rPr>
          <w:b/>
          <w:bCs/>
        </w:rPr>
        <w:t xml:space="preserve">Privacy Rule</w:t>
      </w:r>
      <w:r>
        <w:t xml:space="preserve">”</w:t>
      </w:r>
      <w:r>
        <w:t xml:space="preserve">).</w:t>
      </w:r>
    </w:p>
    <w:p>
      <w:pPr>
        <w:pStyle w:val="Compact"/>
        <w:numPr>
          <w:ilvl w:val="1"/>
          <w:numId w:val="1022"/>
        </w:numPr>
      </w:pPr>
      <w:r>
        <w:rPr>
          <w:i/>
          <w:iCs/>
        </w:rPr>
        <w:t xml:space="preserve">PHI.</w:t>
      </w:r>
      <w:r>
        <w:t xml:space="preserve"> </w:t>
      </w:r>
      <w:r>
        <w:t xml:space="preserve">“PHI”</w:t>
      </w:r>
      <w:r>
        <w:t xml:space="preserve"> </w:t>
      </w:r>
      <w:r>
        <w:t xml:space="preserve">shall have the same meaning as the term</w:t>
      </w:r>
      <w:r>
        <w:t xml:space="preserve"> </w:t>
      </w:r>
      <w:r>
        <w:t xml:space="preserve">“PHI”</w:t>
      </w:r>
      <w:r>
        <w:t xml:space="preserve"> </w:t>
      </w:r>
      <w:r>
        <w:t xml:space="preserve">in 45 CFR 160.103, limited to the information created or received by Recipient from Covered Entity as part of the Limited Data Set.</w:t>
      </w:r>
    </w:p>
    <w:p>
      <w:pPr>
        <w:pStyle w:val="Compact"/>
        <w:numPr>
          <w:ilvl w:val="1"/>
          <w:numId w:val="1022"/>
        </w:numPr>
      </w:pPr>
      <w:r>
        <w:rPr>
          <w:i/>
          <w:iCs/>
        </w:rPr>
        <w:t xml:space="preserve">Required by Law.</w:t>
      </w:r>
      <w:r>
        <w:t xml:space="preserve"> </w:t>
      </w:r>
      <w:r>
        <w:t xml:space="preserve">“Required by Law”</w:t>
      </w:r>
      <w:r>
        <w:t xml:space="preserve"> </w:t>
      </w:r>
      <w:r>
        <w:t xml:space="preserve">shall have the same meaning as the term</w:t>
      </w:r>
      <w:r>
        <w:t xml:space="preserve"> </w:t>
      </w:r>
      <w:r>
        <w:t xml:space="preserve">“required by law”</w:t>
      </w:r>
      <w:r>
        <w:t xml:space="preserve"> </w:t>
      </w:r>
      <w:r>
        <w:t xml:space="preserve">in 45 CFR 164.103.</w:t>
      </w:r>
    </w:p>
    <w:p>
      <w:pPr>
        <w:numPr>
          <w:ilvl w:val="0"/>
          <w:numId w:val="1021"/>
        </w:numPr>
      </w:pPr>
      <w:r>
        <w:rPr>
          <w:b/>
          <w:bCs/>
        </w:rPr>
        <w:t xml:space="preserve">Use and Disclosure.</w:t>
      </w:r>
    </w:p>
    <w:p>
      <w:pPr>
        <w:pStyle w:val="Compact"/>
        <w:numPr>
          <w:ilvl w:val="1"/>
          <w:numId w:val="1023"/>
        </w:numPr>
      </w:pPr>
      <w:r>
        <w:rPr>
          <w:i/>
          <w:iCs/>
        </w:rPr>
        <w:t xml:space="preserve">Purpose.</w:t>
      </w:r>
      <w:r>
        <w:t xml:space="preserve"> </w:t>
      </w:r>
      <w:r>
        <w:t xml:space="preserve">Recipient agrees not to use or disclose the PHI in the Limited Data Set for purposes other than research, public health, or Health Care Operations</w:t>
      </w:r>
      <w:r>
        <w:t xml:space="preserve"> </w:t>
      </w:r>
      <w:r>
        <w:rPr>
          <w:b/>
          <w:bCs/>
          <w:i/>
          <w:iCs/>
        </w:rPr>
        <w:t xml:space="preserve">[Indicate Correct Purpose]</w:t>
      </w:r>
      <w:r>
        <w:t xml:space="preserve"> </w:t>
      </w:r>
      <w:r>
        <w:t xml:space="preserve">and specifically only with respect to ______________________________________________________________________________</w:t>
      </w:r>
      <w:r>
        <w:t xml:space="preserve"> </w:t>
      </w:r>
      <w:r>
        <w:rPr>
          <w:b/>
          <w:bCs/>
          <w:i/>
          <w:iCs/>
        </w:rPr>
        <w:t xml:space="preserve">[Indicate Intended Use]</w:t>
      </w:r>
      <w:r>
        <w:t xml:space="preserve">. The Recipient has requested inclusion of, and will utilize only, the following elements in the Limited Data Set: __________________________________________________</w:t>
      </w:r>
      <w:r>
        <w:t xml:space="preserve"> </w:t>
      </w:r>
      <w:r>
        <w:rPr>
          <w:b/>
          <w:bCs/>
          <w:i/>
          <w:iCs/>
        </w:rPr>
        <w:t xml:space="preserve">[Indicate Specific Data Elements or Categories of Data Elements]</w:t>
      </w:r>
      <w:r>
        <w:t xml:space="preserve">. Recipient further agrees not to use or disclose the Limited Data Set other than as permitted or required by this Agreement or as Required by Law.</w:t>
      </w:r>
    </w:p>
    <w:p>
      <w:pPr>
        <w:pStyle w:val="Compact"/>
        <w:numPr>
          <w:ilvl w:val="1"/>
          <w:numId w:val="1023"/>
        </w:numPr>
      </w:pPr>
      <w:r>
        <w:rPr>
          <w:i/>
          <w:iCs/>
        </w:rPr>
        <w:t xml:space="preserve">Limitation.</w:t>
      </w:r>
      <w:r>
        <w:t xml:space="preserve"> </w:t>
      </w:r>
      <w:r>
        <w:t xml:space="preserve">Except as otherwise limited in this Agreement, Recipient may use or disclose the Limited Data Set to perform functions, activities, or services in connection with its research, public health, or Health Care Operations function</w:t>
      </w:r>
      <w:r>
        <w:t xml:space="preserve"> </w:t>
      </w:r>
      <w:r>
        <w:rPr>
          <w:b/>
          <w:bCs/>
          <w:i/>
          <w:iCs/>
        </w:rPr>
        <w:t xml:space="preserve">[Indicate Correct Function]</w:t>
      </w:r>
      <w:r>
        <w:t xml:space="preserve">, provided that such use or disclosure would not violate the Privacy Rule if done by Covered Entity or Company’s Minimum Necessary Rule (Section 1 of the underlying PHI Use, Disclosure &amp; De-Identification Policy).</w:t>
      </w:r>
    </w:p>
    <w:p>
      <w:pPr>
        <w:numPr>
          <w:ilvl w:val="0"/>
          <w:numId w:val="1021"/>
        </w:numPr>
      </w:pPr>
      <w:r>
        <w:rPr>
          <w:b/>
          <w:bCs/>
        </w:rPr>
        <w:t xml:space="preserve">Authorized Users.</w:t>
      </w:r>
      <w:r>
        <w:t xml:space="preserve"> </w:t>
      </w:r>
      <w:r>
        <w:t xml:space="preserve">The Limited Data Set shall be used or disclosed only by entities or persons authorized under this Agreement. Recipient represents and warrants that the following is a list of the persons within the Recipient who are authorized to use or disclose the Limited Data Set: ___________________________________________________________</w:t>
      </w:r>
      <w:r>
        <w:t xml:space="preserve"> </w:t>
      </w:r>
      <w:r>
        <w:t xml:space="preserve">_____________________________________________________________________________.</w:t>
      </w:r>
    </w:p>
    <w:p>
      <w:pPr>
        <w:numPr>
          <w:ilvl w:val="0"/>
          <w:numId w:val="1021"/>
        </w:numPr>
      </w:pPr>
      <w:r>
        <w:rPr>
          <w:b/>
          <w:bCs/>
        </w:rPr>
        <w:t xml:space="preserve">Agents.</w:t>
      </w:r>
      <w:r>
        <w:t xml:space="preserve"> </w:t>
      </w:r>
      <w:r>
        <w:t xml:space="preserve">Recipient agrees to ensure that any agent, including a subcontractor, to whom it provides the Limited Data Set agrees to the same restrictions and conditions that apply through this Data Use Agreement to Recipient with respect to such information. Recipient further agrees that each such agent shall enter into a Data Use Agreement substantially similar to this Agreement.</w:t>
      </w:r>
    </w:p>
    <w:p>
      <w:pPr>
        <w:numPr>
          <w:ilvl w:val="0"/>
          <w:numId w:val="1021"/>
        </w:numPr>
      </w:pPr>
      <w:r>
        <w:rPr>
          <w:b/>
          <w:bCs/>
        </w:rPr>
        <w:t xml:space="preserve">Appropriate Safeguards.</w:t>
      </w:r>
      <w:r>
        <w:t xml:space="preserve"> </w:t>
      </w:r>
      <w:r>
        <w:t xml:space="preserve">Recipient agrees to use appropriate safeguards to prevent use or disclosure of the Limited Data Set other than as provided for in this Agreement. Without limiting the generality of the foregoing, Recipient agrees to protect the integrity and confidentiality of any PHI it electronically exchanges with Covered Entity.</w:t>
      </w:r>
    </w:p>
    <w:p>
      <w:pPr>
        <w:numPr>
          <w:ilvl w:val="0"/>
          <w:numId w:val="1021"/>
        </w:numPr>
      </w:pPr>
      <w:r>
        <w:rPr>
          <w:b/>
          <w:bCs/>
        </w:rPr>
        <w:t xml:space="preserve">Reporting.</w:t>
      </w:r>
      <w:r>
        <w:t xml:space="preserve"> </w:t>
      </w:r>
      <w:r>
        <w:t xml:space="preserve">Recipient agrees to promptly report to Covered Entity any use or disclosure of the Limited Data Set not provided for by this Agreement of which it becomes aware.</w:t>
      </w:r>
    </w:p>
    <w:p>
      <w:pPr>
        <w:numPr>
          <w:ilvl w:val="0"/>
          <w:numId w:val="1021"/>
        </w:numPr>
      </w:pPr>
      <w:r>
        <w:rPr>
          <w:b/>
          <w:bCs/>
        </w:rPr>
        <w:t xml:space="preserve">Protection of Individuals.</w:t>
      </w:r>
      <w:r>
        <w:t xml:space="preserve"> </w:t>
      </w:r>
      <w:r>
        <w:t xml:space="preserve">The Recipient agrees that it will not identify any of the PHI provided to it in the Limited Data Set, nor will it attempt to contact the Individuals whose PHI is included in the Limited Data Set.</w:t>
      </w:r>
    </w:p>
    <w:p>
      <w:pPr>
        <w:numPr>
          <w:ilvl w:val="0"/>
          <w:numId w:val="1021"/>
        </w:numPr>
      </w:pPr>
      <w:r>
        <w:rPr>
          <w:b/>
          <w:bCs/>
        </w:rPr>
        <w:t xml:space="preserve">Permissible Requests by Covered Entity.</w:t>
      </w:r>
      <w:r>
        <w:t xml:space="preserve"> </w:t>
      </w:r>
      <w:r>
        <w:t xml:space="preserve">Covered Entity shall not request Recipient to use or disclose PHI in any manner that would not be permissible under the Privacy Rule if done by Covered Entity.</w:t>
      </w:r>
    </w:p>
    <w:p>
      <w:pPr>
        <w:numPr>
          <w:ilvl w:val="0"/>
          <w:numId w:val="1021"/>
        </w:numPr>
      </w:pPr>
      <w:r>
        <w:rPr>
          <w:b/>
          <w:bCs/>
        </w:rPr>
        <w:t xml:space="preserve">Term and Termination.</w:t>
      </w:r>
    </w:p>
    <w:p>
      <w:pPr>
        <w:pStyle w:val="Compact"/>
        <w:numPr>
          <w:ilvl w:val="1"/>
          <w:numId w:val="1024"/>
        </w:numPr>
      </w:pPr>
      <w:r>
        <w:rPr>
          <w:i/>
          <w:iCs/>
        </w:rPr>
        <w:t xml:space="preserve">Term.</w:t>
      </w:r>
      <w:r>
        <w:t xml:space="preserve"> </w:t>
      </w:r>
      <w:r>
        <w:t xml:space="preserve">This Agreement shall be effective as of the date set forth above, and shall terminate when all of the Limited Data Set provided by Covered Entity to Recipient, or created or received by Recipient on behalf of Covered Entity, is destroyed or returned to Covered Entity, or, if it is infeasible to return or destroy the Limited Data Set, protections are extended to such information, in accordance with the termination provisions in this section.</w:t>
      </w:r>
    </w:p>
    <w:p>
      <w:pPr>
        <w:pStyle w:val="Compact"/>
        <w:numPr>
          <w:ilvl w:val="1"/>
          <w:numId w:val="1024"/>
        </w:numPr>
      </w:pPr>
      <w:r>
        <w:rPr>
          <w:i/>
          <w:iCs/>
        </w:rPr>
        <w:t xml:space="preserve">Termination for Cause.</w:t>
      </w:r>
      <w:r>
        <w:t xml:space="preserve"> </w:t>
      </w:r>
      <w:r>
        <w:t xml:space="preserve">Upon Covered Entity’s knowledge of a material breach by Recipient, Covered Entity shall:</w:t>
      </w:r>
    </w:p>
    <w:p>
      <w:pPr>
        <w:pStyle w:val="Compact"/>
        <w:numPr>
          <w:ilvl w:val="2"/>
          <w:numId w:val="1025"/>
        </w:numPr>
      </w:pPr>
      <w:r>
        <w:t xml:space="preserve">Provide an opportunity for Recipient to cure the breach or end the violation. If Recipient does not cure the breach or end the violation within the time specified by Covered Entity, Covered Entity shall terminate this Agreement.</w:t>
      </w:r>
    </w:p>
    <w:p>
      <w:pPr>
        <w:pStyle w:val="Compact"/>
        <w:numPr>
          <w:ilvl w:val="2"/>
          <w:numId w:val="1025"/>
        </w:numPr>
      </w:pPr>
      <w:r>
        <w:t xml:space="preserve">Immediately terminate this Agreement if Recipient has breached a material term of this Agreement and cure is not possible.</w:t>
      </w:r>
    </w:p>
    <w:p>
      <w:pPr>
        <w:pStyle w:val="Compact"/>
        <w:numPr>
          <w:ilvl w:val="2"/>
          <w:numId w:val="1025"/>
        </w:numPr>
      </w:pPr>
      <w:r>
        <w:t xml:space="preserve">If neither termination nor cure are feasible, Covered Entity shall report the violation to the Secretary of the Department of Health &amp; Human Services.</w:t>
      </w:r>
    </w:p>
    <w:p>
      <w:pPr>
        <w:pStyle w:val="Compact"/>
        <w:numPr>
          <w:ilvl w:val="1"/>
          <w:numId w:val="1024"/>
        </w:numPr>
      </w:pPr>
      <w:r>
        <w:rPr>
          <w:i/>
          <w:iCs/>
        </w:rPr>
        <w:t xml:space="preserve">Effect of Termination.</w:t>
      </w:r>
    </w:p>
    <w:p>
      <w:pPr>
        <w:pStyle w:val="Compact"/>
        <w:numPr>
          <w:ilvl w:val="2"/>
          <w:numId w:val="1026"/>
        </w:numPr>
      </w:pPr>
      <w:r>
        <w:t xml:space="preserve">Except as provided in paragraph (ii) of this Section 9(c), upon termination of this Agreement, for any reason, Recipient shall return or destroy the Limited Data Set and all PHI received from Covered Entity, or created or received by Recipient on behalf of Covered Entity, and shall provide a certificate evidencing such destruction. This provision shall apply to PHI that is in the possession of subcontractors or agents of Recipient. Recipient shall retain no copies of the Limited Data Set or any other PHI.</w:t>
      </w:r>
    </w:p>
    <w:p>
      <w:pPr>
        <w:pStyle w:val="Compact"/>
        <w:numPr>
          <w:ilvl w:val="2"/>
          <w:numId w:val="1026"/>
        </w:numPr>
      </w:pPr>
      <w:r>
        <w:t xml:space="preserve">In the event that Recipient determines that returning or destroying the Limited Data Set and the PHI is infeasible, Recipient shall provide to Covered Entity notification of the conditions that make return or destruction infeasible. Upon mutual agreement of the parties that return or destruction of the Limited Data Set and PHI is infeasible, Recipient shall extend the protections of this Agreement to such Limited Data Set and all PHI and limit further uses and disclosures of such Limited Data Set and all PHI included therein to those purposes that make the return or destruction infeasible, for so long as Recipient maintains such Limited Data Set.</w:t>
      </w:r>
    </w:p>
    <w:p>
      <w:pPr>
        <w:numPr>
          <w:ilvl w:val="0"/>
          <w:numId w:val="1021"/>
        </w:numPr>
      </w:pPr>
      <w:r>
        <w:rPr>
          <w:b/>
          <w:bCs/>
        </w:rPr>
        <w:t xml:space="preserve">Miscellaneous.</w:t>
      </w:r>
    </w:p>
    <w:p>
      <w:pPr>
        <w:pStyle w:val="Compact"/>
        <w:numPr>
          <w:ilvl w:val="1"/>
          <w:numId w:val="1027"/>
        </w:numPr>
      </w:pPr>
      <w:r>
        <w:rPr>
          <w:i/>
          <w:iCs/>
        </w:rPr>
        <w:t xml:space="preserve">Regulatory References.</w:t>
      </w:r>
      <w:r>
        <w:t xml:space="preserve"> </w:t>
      </w:r>
      <w:r>
        <w:t xml:space="preserve">A reference in this Agreement to a section in the Privacy Rule means the section as in effect or as amended.</w:t>
      </w:r>
    </w:p>
    <w:p>
      <w:pPr>
        <w:pStyle w:val="Compact"/>
        <w:numPr>
          <w:ilvl w:val="1"/>
          <w:numId w:val="1027"/>
        </w:numPr>
      </w:pPr>
      <w:r>
        <w:rPr>
          <w:i/>
          <w:iCs/>
        </w:rPr>
        <w:t xml:space="preserve">Amendment.</w:t>
      </w:r>
      <w:r>
        <w:t xml:space="preserve"> </w:t>
      </w:r>
      <w:r>
        <w:t xml:space="preserve">The parties agree to take such action as is necessary to amend this Agreement from time to time as is necessary for Covered Entity to comply with the requirements of the Privacy Rule and HIPAA.</w:t>
      </w:r>
    </w:p>
    <w:p>
      <w:pPr>
        <w:pStyle w:val="Compact"/>
        <w:numPr>
          <w:ilvl w:val="1"/>
          <w:numId w:val="1027"/>
        </w:numPr>
      </w:pPr>
      <w:r>
        <w:rPr>
          <w:i/>
          <w:iCs/>
        </w:rPr>
        <w:t xml:space="preserve">Interpretation.</w:t>
      </w:r>
      <w:r>
        <w:t xml:space="preserve"> </w:t>
      </w:r>
      <w:r>
        <w:t xml:space="preserve">Any ambiguity in this Agreement shall be resolved to permit Covered Entity to comply with the Privacy Rule.</w:t>
      </w:r>
    </w:p>
    <w:p>
      <w:pPr>
        <w:pStyle w:val="Compact"/>
        <w:numPr>
          <w:ilvl w:val="1"/>
          <w:numId w:val="1027"/>
        </w:numPr>
      </w:pPr>
      <w:r>
        <w:rPr>
          <w:i/>
          <w:iCs/>
        </w:rPr>
        <w:t xml:space="preserve">Entire Agreement.</w:t>
      </w:r>
      <w:r>
        <w:t xml:space="preserve"> </w:t>
      </w:r>
      <w:r>
        <w:t xml:space="preserve">This Agreement constitutes the entire agreement between the parties with respect to the subject matter contained herein.</w:t>
      </w:r>
    </w:p>
    <w:p>
      <w:pPr>
        <w:pStyle w:val="Compact"/>
        <w:numPr>
          <w:ilvl w:val="1"/>
          <w:numId w:val="1027"/>
        </w:numPr>
      </w:pPr>
      <w:r>
        <w:rPr>
          <w:i/>
          <w:iCs/>
        </w:rPr>
        <w:t xml:space="preserve">Governing Law.</w:t>
      </w:r>
      <w:r>
        <w:t xml:space="preserve"> </w:t>
      </w:r>
      <w:r>
        <w:t xml:space="preserve">This Agreement will be governed by and construed and enforced in accordance with the laws of the state of New York, without giving effect to any choice or conflict of law provision or rule that would cause the application of the laws of any other jurisdiction.</w:t>
      </w:r>
    </w:p>
    <w:p>
      <w:pPr>
        <w:pStyle w:val="Compact"/>
        <w:numPr>
          <w:ilvl w:val="1"/>
          <w:numId w:val="1027"/>
        </w:numPr>
      </w:pPr>
      <w:r>
        <w:rPr>
          <w:i/>
          <w:iCs/>
        </w:rPr>
        <w:t xml:space="preserve">Consent to Jurisdiction.</w:t>
      </w:r>
      <w:r>
        <w:t xml:space="preserve"> </w:t>
      </w:r>
      <w:r>
        <w:t xml:space="preserve">Each party to this Agreement, by its execution hereof, hereby (i) irrevocably submits to the exclusive jurisdiction of the courts in the County of New York for the purpose of any and all actions, suits, or proceedings arising in whole or in part out of, related to, based upon, or in connection with this Agreement or the subject matter hereof (whether sounding in contract, tort, statute, or otherwise); (ii) waives, to the extent not prohibited by applicable law, and agrees not to assert, by way of motion, as a defense, or otherwise, in any such action, suit, or proceeding any claim that it is not subject personally to the jurisdiction of the above-named courts; that its property is exempt or immune from attachment or execution; that any such action, suit, or proceeding brought in one of the above-named courts should be dismissed on grounds of improper venue or inconvenient forum, should be transferred or removed to any court other than one of the above-named courts, or should be stayed by reason of the pendency of some other action, suit, or proceeding in any other court other than one of the above-named courts; or that this Agreement or the subject matter hereof may not be enforced in or by such court; and (iii) agrees not to commence or prosecute any such action, suit, or proceeding other than before one of the above-named courts, nor to make any motion or take any other action seeking or intending to cause the transfer or removal of any such action, suit, or proceeding to any court other than one of the above-named courts, whether on the grounds of lack of personal jurisdiction, improper venue, inconvenient forum, or otherwise.</w:t>
      </w:r>
    </w:p>
    <w:p>
      <w:pPr>
        <w:pStyle w:val="FirstParagraph"/>
      </w:pPr>
      <w:r>
        <w:rPr>
          <w:b/>
          <w:bCs/>
        </w:rPr>
        <w:t xml:space="preserve">IN WITNESS WHEREOF</w:t>
      </w:r>
      <w:r>
        <w:t xml:space="preserve">, the parties have executed this Agreement as of the date set forth above.</w:t>
      </w:r>
    </w:p>
    <w:p>
      <w:pPr>
        <w:pStyle w:val="BodyText"/>
      </w:pPr>
      <w:r>
        <w:rPr>
          <w:b/>
          <w:bCs/>
        </w:rPr>
        <w:t xml:space="preserve">COMPANY</w:t>
      </w:r>
      <w:r>
        <w:t xml:space="preserve"> </w:t>
      </w:r>
      <w:r>
        <w:rPr>
          <w:b/>
          <w:bCs/>
        </w:rPr>
        <w:t xml:space="preserve">[INSERT NAME OF RECIPIENT]</w:t>
      </w:r>
    </w:p>
    <w:p>
      <w:pPr>
        <w:pStyle w:val="BodyText"/>
      </w:pPr>
      <w:r>
        <w:t xml:space="preserve">By: _________________________ By: ________________________</w:t>
      </w:r>
    </w:p>
    <w:p>
      <w:pPr>
        <w:pStyle w:val="BodyText"/>
      </w:pPr>
      <w:r>
        <w:t xml:space="preserve">Name: ________________________ Name: ________________________</w:t>
      </w:r>
    </w:p>
    <w:p>
      <w:pPr>
        <w:pStyle w:val="BodyText"/>
      </w:pPr>
      <w:r>
        <w:t xml:space="preserve">Title: ________________________ Title: ________________________</w:t>
      </w:r>
    </w:p>
    <w:p>
      <w:r>
        <w:pict>
          <v:rect style="width:0;height:1.5pt" o:hralign="center" o:hrstd="t" o:hr="t"/>
        </w:pict>
      </w:r>
    </w:p>
    <w:bookmarkEnd w:id="49"/>
    <w:bookmarkStart w:id="50" w:name="X36431cdc9db6a1cb3f6701e78d26253b7f5e725"/>
    <w:p>
      <w:pPr>
        <w:pStyle w:val="Heading2"/>
      </w:pPr>
      <w:r>
        <w:t xml:space="preserve">Out-of-scope content noticed during merge</w:t>
      </w:r>
    </w:p>
    <w:p>
      <w:pPr>
        <w:pStyle w:val="Compact"/>
        <w:numPr>
          <w:ilvl w:val="0"/>
          <w:numId w:val="1028"/>
        </w:numPr>
      </w:pPr>
      <w:r>
        <w:rPr>
          <w:b/>
          <w:bCs/>
        </w:rPr>
        <w:t xml:space="preserve">State-specific confidentiality overlays</w:t>
      </w:r>
      <w:r>
        <w:t xml:space="preserve"> </w:t>
      </w:r>
      <w:r>
        <w:t xml:space="preserve">(HIV-related information, genetic information, alcohol/substance-abuse records, mental-health records). Noted in Section II as not pre-empted by HIPAA, but Millie does not yet maintain a state-by-state matrix of what additional protections apply. This belongs in a future state-law compendium, not in this Policy.</w:t>
      </w:r>
    </w:p>
    <w:p>
      <w:pPr>
        <w:pStyle w:val="Compact"/>
        <w:numPr>
          <w:ilvl w:val="0"/>
          <w:numId w:val="1028"/>
        </w:numPr>
      </w:pPr>
      <w:r>
        <w:rPr>
          <w:b/>
          <w:bCs/>
        </w:rPr>
        <w:t xml:space="preserve">Patient-facing Notice of Privacy Practices (NPP).</w:t>
      </w:r>
      <w:r>
        <w:t xml:space="preserve"> </w:t>
      </w:r>
      <w:r>
        <w:t xml:space="preserve">Patients receive the §164.520 NPP separately; that document is patient-facing and is currently a TODO per CONSOLIDATION-PROPOSAL §3.10. This Policy is the internal operational counterpart and does not include NPP content.</w:t>
      </w:r>
    </w:p>
    <w:p>
      <w:pPr>
        <w:pStyle w:val="Compact"/>
        <w:numPr>
          <w:ilvl w:val="0"/>
          <w:numId w:val="1028"/>
        </w:numPr>
      </w:pPr>
      <w:r>
        <w:rPr>
          <w:b/>
          <w:bCs/>
        </w:rPr>
        <w:t xml:space="preserve">Research-specific IRB/waiver procedures.</w:t>
      </w:r>
      <w:r>
        <w:t xml:space="preserve"> </w:t>
      </w:r>
      <w:r>
        <w:t xml:space="preserve">Section 5 covers Limited Data Sets used for research, but the full IRB submission, informed-consent, and §164.512(i) waiver-of-authorization workflow is not yet documented in this repo and should be authored as a separate research-compliance procedure.</w:t>
      </w:r>
    </w:p>
    <w:p>
      <w:pPr>
        <w:pStyle w:val="Compact"/>
        <w:numPr>
          <w:ilvl w:val="0"/>
          <w:numId w:val="1028"/>
        </w:numPr>
      </w:pPr>
      <w:r>
        <w:rPr>
          <w:b/>
          <w:bCs/>
        </w:rPr>
        <w:t xml:space="preserve">Sale of PHI.</w:t>
      </w:r>
      <w:r>
        <w:t xml:space="preserve"> </w:t>
      </w:r>
      <w:r>
        <w:t xml:space="preserve">45 CFR §164.508(a)(4) prohibits the sale of PHI without authorization. The source policies did not address this scenario; if Company ever contemplates a sale or licensing arrangement involving PHI, that activity must be assessed under §164.508(a)(4) and added to this Policy or to a new policy.</w:t>
      </w:r>
    </w:p>
    <w:p>
      <w:pPr>
        <w:pStyle w:val="Compact"/>
        <w:numPr>
          <w:ilvl w:val="0"/>
          <w:numId w:val="1028"/>
        </w:numPr>
      </w:pPr>
      <w:r>
        <w:rPr>
          <w:b/>
          <w:bCs/>
        </w:rPr>
        <w:t xml:space="preserve">Fundraising communications.</w:t>
      </w:r>
      <w:r>
        <w:t xml:space="preserve"> </w:t>
      </w:r>
      <w:r>
        <w:t xml:space="preserve">45 CFR §164.514(f) governs use of PHI for fundraising and includes an opt-out requirement. Not in scope of the four source policies; flagged for future authoring if Company begins fundraising activities.</w:t>
      </w:r>
    </w:p>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7" Target="governance-and-risk-management.docx" TargetMode="External" /><Relationship Type="http://schemas.openxmlformats.org/officeDocument/2006/relationships/hyperlink" Id="rId44" Target="hipaa-definitions.docx" TargetMode="External" /><Relationship Type="http://schemas.openxmlformats.org/officeDocument/2006/relationships/hyperlink" Id="rId14" Target="incident-and-breach-response.docx" TargetMode="External" /><Relationship Type="http://schemas.openxmlformats.org/officeDocument/2006/relationships/hyperlink" Id="rId45" Target="operational-safeguards.docx" TargetMode="External" /><Relationship Type="http://schemas.openxmlformats.org/officeDocument/2006/relationships/hyperlink" Id="rId20" Target="patient-rights.docx" TargetMode="External" /><Relationship Type="http://schemas.openxmlformats.org/officeDocument/2006/relationships/hyperlink" Id="rId13" Target="technical-safeguards.docx" TargetMode="External" /><Relationship Type="http://schemas.openxmlformats.org/officeDocument/2006/relationships/hyperlink" Id="rId37" Target="vendor-and-business-associates.docx" TargetMode="External" /></Relationships>
</file>

<file path=word/_rels/footnotes.xml.rels><?xml version="1.0" encoding="UTF-8"?><Relationships xmlns="http://schemas.openxmlformats.org/package/2006/relationships"><Relationship Type="http://schemas.openxmlformats.org/officeDocument/2006/relationships/hyperlink" Id="rId17" Target="governance-and-risk-management.docx" TargetMode="External" /><Relationship Type="http://schemas.openxmlformats.org/officeDocument/2006/relationships/hyperlink" Id="rId44" Target="hipaa-definitions.docx" TargetMode="External" /><Relationship Type="http://schemas.openxmlformats.org/officeDocument/2006/relationships/hyperlink" Id="rId14" Target="incident-and-breach-response.docx" TargetMode="External" /><Relationship Type="http://schemas.openxmlformats.org/officeDocument/2006/relationships/hyperlink" Id="rId45" Target="operational-safeguards.docx" TargetMode="External" /><Relationship Type="http://schemas.openxmlformats.org/officeDocument/2006/relationships/hyperlink" Id="rId20" Target="patient-rights.docx" TargetMode="External" /><Relationship Type="http://schemas.openxmlformats.org/officeDocument/2006/relationships/hyperlink" Id="rId13" Target="technical-safeguards.docx" TargetMode="External" /><Relationship Type="http://schemas.openxmlformats.org/officeDocument/2006/relationships/hyperlink" Id="rId37" Target="vendor-and-business-associates.doc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phi-use-and-disclosure</dc:title>
  <dc:creator/>
  <cp:keywords/>
  <dcterms:created xsi:type="dcterms:W3CDTF">2026-05-26T18:49:06Z</dcterms:created>
  <dcterms:modified xsi:type="dcterms:W3CDTF">2026-05-26T18:49:06Z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_reviewed">
    <vt:lpwstr>2026-05-24</vt:lpwstr>
  </property>
  <property fmtid="{D5CDD505-2E9C-101B-9397-08002B2CF9AE}" pid="3" name="owner">
    <vt:lpwstr>Privacy Officer</vt:lpwstr>
  </property>
  <property fmtid="{D5CDD505-2E9C-101B-9397-08002B2CF9AE}" pid="4" name="sources">
    <vt:lpwstr/>
  </property>
  <property fmtid="{D5CDD505-2E9C-101B-9397-08002B2CF9AE}" pid="5" name="status">
    <vt:lpwstr>active</vt:lpwstr>
  </property>
  <property fmtid="{D5CDD505-2E9C-101B-9397-08002B2CF9AE}" pid="6" name="supersedes">
    <vt:lpwstr/>
  </property>
</Properties>
</file>