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changes-folder-3-vs-folder-1"/>
    <w:p>
      <w:pPr>
        <w:pStyle w:val="Heading1"/>
      </w:pPr>
      <w:r>
        <w:t xml:space="preserve">Changes — folder 3 vs folder 1</w:t>
      </w:r>
    </w:p>
    <w:p>
      <w:pPr>
        <w:pStyle w:val="FirstParagraph"/>
      </w:pPr>
      <w:r>
        <w:t xml:space="preserve">Folder 3 started as an exact copy of</w:t>
      </w:r>
      <w:r>
        <w:t xml:space="preserve"> </w:t>
      </w:r>
      <w:r>
        <w:rPr>
          <w:rStyle w:val="VerbatimChar"/>
        </w:rPr>
        <w:t xml:space="preserve">1. original_docs_markdown/</w:t>
      </w:r>
      <w:r>
        <w:t xml:space="preserve"> </w:t>
      </w:r>
      <w:r>
        <w:t xml:space="preserve">(37 files, no edits). This document lists every change applied on top, and why. The full diff is visible per-file in git history; this is the executive-readable summary.</w:t>
      </w:r>
    </w:p>
    <w:p>
      <w:pPr>
        <w:pStyle w:val="BodyText"/>
      </w:pPr>
      <w:r>
        <w:rPr>
          <w:b/>
          <w:bCs/>
        </w:rPr>
        <w:t xml:space="preserve">Net change: 37 → 28 files, with 3 short clauses added to existing policies.</w:t>
      </w:r>
      <w:r>
        <w:t xml:space="preserve"> </w:t>
      </w:r>
      <w:r>
        <w:t xml:space="preserve">No new files were authored. No content was rewritten.</w:t>
      </w:r>
    </w:p>
    <w:p>
      <w:r>
        <w:pict>
          <v:rect style="width:0;height:1.5pt" o:hralign="center" o:hrstd="t" o:hr="t"/>
        </w:pict>
      </w:r>
    </w:p>
    <w:bookmarkStart w:id="9" w:name="X71da5b20ba2821099f2459deb5a4598eefa86ea"/>
    <w:p>
      <w:pPr>
        <w:pStyle w:val="Heading2"/>
      </w:pPr>
      <w:r>
        <w:t xml:space="preserve">1. Deletions — superseded duplicate versions (9 files removed)</w:t>
      </w:r>
    </w:p>
    <w:p>
      <w:pPr>
        <w:pStyle w:val="FirstParagraph"/>
      </w:pPr>
      <w:r>
        <w:t xml:space="preserve">The originals included pairs / quadruplets of the same policy at different revision dates. We keep the newest of each and remove the rest. The originals remain untouched in</w:t>
      </w:r>
      <w:r>
        <w:t xml:space="preserve"> </w:t>
      </w:r>
      <w:r>
        <w:rPr>
          <w:rStyle w:val="VerbatimChar"/>
        </w:rPr>
        <w:t xml:space="preserve">1. original_docs_markdown/</w:t>
      </w:r>
      <w:r>
        <w:t xml:space="preserve"> </w:t>
      </w:r>
      <w:r>
        <w:t xml:space="preserve">for full audit history.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03d HIPAA - Contingency Planning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03d HIPAA - Contingency Planning Policy (1).md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(1)</w:t>
            </w:r>
            <w:r>
              <w:t xml:space="preserve"> </w:t>
            </w:r>
            <w:r>
              <w:t xml:space="preserve">version is the May 7 revision; the un-suffixed version is the older May 1 baseline.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03l HIPAA - Millie_BAA (for BA Use with Subcontractor).md</w:t>
            </w:r>
            <w:r>
              <w:t xml:space="preserve"> </w:t>
            </w:r>
            <w:r>
              <w:t xml:space="preserve">(legacy</w:t>
            </w:r>
            <w:r>
              <w:t xml:space="preserve"> </w:t>
            </w:r>
            <w:r>
              <w:rPr>
                <w:rStyle w:val="VerbatimChar"/>
              </w:rPr>
              <w:t xml:space="preserve">.doc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HIPAA - Millie_BAA (for BA Use with Subcontractor).md</w:t>
            </w:r>
            <w:r>
              <w:t xml:space="preserve"> </w:t>
            </w:r>
            <w:r>
              <w:t xml:space="preserve">(modern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Modern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supersedes the legacy</w:t>
            </w:r>
            <w:r>
              <w:t xml:space="preserve"> </w:t>
            </w:r>
            <w:r>
              <w:rPr>
                <w:rStyle w:val="VerbatimChar"/>
              </w:rPr>
              <w:t xml:space="preserve">.doc</w:t>
            </w:r>
            <w:r>
              <w:t xml:space="preserve">; content is the same BAA template.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03q HIPAA - Risk Management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03q HIPAA - Risk Management Policy (1).md</w:t>
            </w:r>
          </w:p>
        </w:tc>
        <w:tc>
          <w:tcPr/>
          <w:p>
            <w:pPr>
              <w:pStyle w:val="Compact"/>
            </w:pPr>
            <w:r>
              <w:t xml:space="preserve">Both converted to byte-identical Markdown. Kept the</w:t>
            </w:r>
            <w:r>
              <w:t xml:space="preserve"> </w:t>
            </w:r>
            <w:r>
              <w:rPr>
                <w:rStyle w:val="VerbatimChar"/>
              </w:rPr>
              <w:t xml:space="preserve">(1)</w:t>
            </w:r>
            <w:r>
              <w:t xml:space="preserve"> </w:t>
            </w:r>
            <w:r>
              <w:t xml:space="preserve">per filename convention.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 (1).md</w:t>
            </w:r>
            <w:r>
              <w:t xml:space="preserve"> </w:t>
            </w:r>
            <w:r>
              <w:t xml:space="preserve">(May 14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 (2).md</w:t>
            </w:r>
            <w:r>
              <w:t xml:space="preserve"> </w:t>
            </w:r>
            <w:r>
              <w:t xml:space="preserve">(May 18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Four versions of this file existed (two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, two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(2).docx</w:t>
            </w:r>
            <w:r>
              <w:t xml:space="preserve"> </w:t>
            </w:r>
            <w:r>
              <w:t xml:space="preserve">is the newest.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Policy.docx.md</w:t>
            </w:r>
            <w:r>
              <w:t xml:space="preserve"> </w:t>
            </w:r>
            <w:r>
              <w:t xml:space="preserve">(May 1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</w:pPr>
            <w:r>
              <w:t xml:space="preserve">Oldest of the four.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Policy.pdf.md</w:t>
            </w:r>
            <w:r>
              <w:t xml:space="preserve"> </w:t>
            </w:r>
            <w:r>
              <w:t xml:space="preserve">(May 6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</w:pPr>
            <w:r>
              <w:t xml:space="preserve">Superseded by the May 14 PDF and the May 18 DOCX.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03w HIPAA - Workstation Use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03w HIPAA - Workstation Use Policy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(1)</w:t>
            </w:r>
            <w:r>
              <w:t xml:space="preserve"> </w:t>
            </w:r>
            <w:r>
              <w:t xml:space="preserve">is May 4; un-suffixed is May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Information Security &amp; Data Governance Framework.md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Information Security &amp; Data Governance Framework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(1)</w:t>
            </w:r>
            <w:r>
              <w:t xml:space="preserve"> </w:t>
            </w:r>
            <w:r>
              <w:t xml:space="preserve">is May 23; un-suffixed is May 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Privacy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Privacy Policy (1).md</w:t>
            </w:r>
          </w:p>
        </w:tc>
        <w:tc>
          <w:tcPr/>
          <w:p>
            <w:pPr>
              <w:pStyle w:val="Compact"/>
            </w:pPr>
            <w:r>
              <w:t xml:space="preserve">Byte-identical. Kept</w:t>
            </w:r>
            <w:r>
              <w:t xml:space="preserve"> </w:t>
            </w:r>
            <w:r>
              <w:rPr>
                <w:rStyle w:val="VerbatimChar"/>
              </w:rPr>
              <w:t xml:space="preserve">(1)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These nine deletions reduce the policy set to 28 files without losing any content.</w:t>
      </w:r>
    </w:p>
    <w:p>
      <w:r>
        <w:pict>
          <v:rect style="width:0;height:1.5pt" o:hralign="center" o:hrstd="t" o:hr="t"/>
        </w:pict>
      </w:r>
    </w:p>
    <w:bookmarkEnd w:id="9"/>
    <w:bookmarkStart w:id="13" w:name="X34818342671402355cda4d76e4bdad22bf7d02f"/>
    <w:p>
      <w:pPr>
        <w:pStyle w:val="Heading2"/>
      </w:pPr>
      <w:r>
        <w:t xml:space="preserve">2. Additions — three short ECH-required clauses</w:t>
      </w:r>
    </w:p>
    <w:p>
      <w:pPr>
        <w:pStyle w:val="FirstParagraph"/>
      </w:pPr>
      <w:r>
        <w:t xml:space="preserve">Driven by</w:t>
      </w:r>
      <w:r>
        <w:t xml:space="preserve"> </w:t>
      </w:r>
      <w:r>
        <w:rPr>
          <w:rStyle w:val="VerbatimChar"/>
        </w:rPr>
        <w:t xml:space="preserve">2. gaps_for_ech/GAPS.md</w:t>
      </w:r>
      <w:r>
        <w:t xml:space="preserve">. Each was appended to an existing policy in its native voice (numbered list, italic sub-section header, formal</w:t>
      </w:r>
      <w:r>
        <w:t xml:space="preserve"> </w:t>
      </w:r>
      <w:r>
        <w:t xml:space="preserve">“Company shall…”</w:t>
      </w:r>
      <w:r>
        <w:t xml:space="preserve"> </w:t>
      </w:r>
      <w:r>
        <w:t xml:space="preserve">tone) so it reads as part of the original rather than a bolted-on extension.</w:t>
      </w:r>
    </w:p>
    <w:bookmarkStart w:id="10" w:name="Xdc9ac886e241dfc8f63b91df0721625feb0b4a5"/>
    <w:p>
      <w:pPr>
        <w:pStyle w:val="Heading3"/>
      </w:pPr>
      <w:r>
        <w:t xml:space="preserve">2.1 — Email Authentication &amp; Anti-Malware Exclusions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Millie Information Security &amp; Data Governance Framework (1).md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Appended one paragraph to §6 Data Transmission &amp; Sharing.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ECH driver:</w:t>
      </w:r>
      <w:r>
        <w:t xml:space="preserve"> </w:t>
      </w:r>
      <w:r>
        <w:t xml:space="preserve">ISD IT Risk Assessment / Additional Cybersecurity Questions, CSV rows 50, 51, 55 (DMARC + AV-exclusion + vuln-scan-exclusion stance).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it says:</w:t>
      </w:r>
      <w:r>
        <w:t xml:space="preserve"> </w:t>
      </w:r>
      <w:r>
        <w:t xml:space="preserve">Google Workspace anti-malware with no custom exclusions; SPF / DKIM / DMARC at policy = quarantine or stricter on Millie-owned sending domains; vuln scanning has no application-side exclusions and any exception requires Chief Security Officer approval.</w:t>
      </w:r>
    </w:p>
    <w:bookmarkEnd w:id="10"/>
    <w:bookmarkStart w:id="11" w:name="byod-mobile-device-management"/>
    <w:p>
      <w:pPr>
        <w:pStyle w:val="Heading3"/>
      </w:pPr>
      <w:r>
        <w:t xml:space="preserve">2.2 — BYOD &amp; Mobile Device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03w HIPAA - Workstation Use Policy (1).md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Appended as new numbered sub-section</w:t>
      </w:r>
      <w:r>
        <w:t xml:space="preserve"> </w:t>
      </w:r>
      <w:r>
        <w:rPr>
          <w:rStyle w:val="VerbatimChar"/>
        </w:rPr>
        <w:t xml:space="preserve">*BYOD &amp; Mobile Device Management*.</w:t>
      </w:r>
      <w:r>
        <w:t xml:space="preserve"> </w:t>
      </w:r>
      <w:r>
        <w:t xml:space="preserve">immediately before the References section.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ECH driver:</w:t>
      </w:r>
      <w:r>
        <w:t xml:space="preserve"> </w:t>
      </w:r>
      <w:r>
        <w:t xml:space="preserve">SIG Lite §M.1.3 / §M.1.5 / §M.1.6 (CSV rows 132–134, all flagged</w:t>
      </w:r>
      <w:r>
        <w:t xml:space="preserve"> </w:t>
      </w:r>
      <w:r>
        <w:t xml:space="preserve">“FOLLOW UP”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it says:</w:t>
      </w:r>
      <w:r>
        <w:t xml:space="preserve"> </w:t>
      </w:r>
      <w:r>
        <w:t xml:space="preserve">BYOD permitted for email / messaging / approved SaaS; PHI not stored locally on personal devices; any device touching PHI must be enrolled in MDM with passcode / encryption / remote-wipe; un-enrolled personal devices restricted to web SaaS via SSO + MFA.</w:t>
      </w:r>
    </w:p>
    <w:bookmarkEnd w:id="11"/>
    <w:bookmarkStart w:id="12" w:name="pandemic-operations-multi-vendor-risk"/>
    <w:p>
      <w:pPr>
        <w:pStyle w:val="Heading3"/>
      </w:pPr>
      <w:r>
        <w:t xml:space="preserve">2.3 — Pandemic Operations &amp; Multi-Vendor Risk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03d HIPAA - Contingency Planning Policy (1).md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Appended as new numbered sub-section</w:t>
      </w:r>
      <w:r>
        <w:t xml:space="preserve"> </w:t>
      </w:r>
      <w:r>
        <w:rPr>
          <w:rStyle w:val="VerbatimChar"/>
        </w:rPr>
        <w:t xml:space="preserve">*Pandemic Operations &amp; Multi-Vendor Risk*.</w:t>
      </w:r>
      <w:r>
        <w:t xml:space="preserve"> </w:t>
      </w:r>
      <w:r>
        <w:t xml:space="preserve">immediately before the References section.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ECH driver:</w:t>
      </w:r>
      <w:r>
        <w:t xml:space="preserve"> </w:t>
      </w:r>
      <w:r>
        <w:t xml:space="preserve">SIG Lite §K.4 (pandemic plan, currently NO) and §K.30 (multi-vendor resiliency, currently NO).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it says:</w:t>
      </w:r>
      <w:r>
        <w:t xml:space="preserve"> </w:t>
      </w:r>
      <w:r>
        <w:t xml:space="preserve">Pandemic patient operations governed by the COVID Policy; operational continuity may shift to telehealth-first / essential-on-site; cloud-first stack with single-vendor dependencies on Aptible / AWS / Cloudflare / Google Workspace is a documented accepted risk reviewed annually.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items-intentionally-not-changed"/>
    <w:p>
      <w:pPr>
        <w:pStyle w:val="Heading2"/>
      </w:pPr>
      <w:r>
        <w:t xml:space="preserve">3. Items intentionally NOT changed</w:t>
      </w:r>
    </w:p>
    <w:p>
      <w:pPr>
        <w:pStyle w:val="FirstParagraph"/>
      </w:pPr>
      <w:r>
        <w:t xml:space="preserve">Per the gap analysis, the following questionnaire-surfaced items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drive a policy edit: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Cyber-liability certificate + pentest / audit attestation</w:t>
      </w:r>
      <w:r>
        <w:t xml:space="preserve"> </w:t>
      </w:r>
      <w:r>
        <w:t xml:space="preserve">(Insurances row 181; Security Audits rows 182–183) — these are evidence attachments for the ECH submission package, not policy text. The Contingency Planning Policy already commits to obtaining cyber-liability insurance; the actual certificate lives in business records.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Operational AWS judgment calls</w:t>
      </w:r>
      <w:r>
        <w:t xml:space="preserve"> </w:t>
      </w:r>
      <w:r>
        <w:t xml:space="preserve">(IAM users with console access, wildcard admin, AWS Config off, public subnet residue) — covered by honest answers in the ECH CSV; no policy edit warranted at Millie’s size.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PCI DSS, ESG, IoMT, GLBA, antitrust, fraud-prevention program, standalone HR security policy, AI policy</w:t>
      </w:r>
      <w:r>
        <w:t xml:space="preserve"> </w:t>
      </w:r>
      <w:r>
        <w:t xml:space="preserve">— all marked N/A in the gap analysis. Answer N/A on the submission with the one-line justifications in</w:t>
      </w:r>
      <w:r>
        <w:t xml:space="preserve"> </w:t>
      </w:r>
      <w:r>
        <w:rPr>
          <w:rStyle w:val="VerbatimChar"/>
        </w:rPr>
        <w:t xml:space="preserve">2. gaps_for_ech/NA-justifications.md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inventory-after-changes"/>
    <w:p>
      <w:pPr>
        <w:pStyle w:val="Heading2"/>
      </w:pPr>
      <w:r>
        <w:t xml:space="preserve">4. Inventory after changes</w:t>
      </w:r>
    </w:p>
    <w:p>
      <w:pPr>
        <w:pStyle w:val="FirstParagraph"/>
      </w:pPr>
      <w:r>
        <w:t xml:space="preserve">29 files remain in</w:t>
      </w:r>
      <w:r>
        <w:t xml:space="preserve"> </w:t>
      </w:r>
      <w:r>
        <w:rPr>
          <w:rStyle w:val="VerbatimChar"/>
        </w:rPr>
        <w:t xml:space="preserve">3. final_policies/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Privacy / patient-rights HIPAA suite (10):</w:t>
      </w:r>
      <w:r>
        <w:t xml:space="preserve"> </w:t>
      </w:r>
      <w:r>
        <w:t xml:space="preserve">Accounting of Disclosures, Breach Notification, BAA Policy, De-Identifying PHI, Definitions, Marketing, Min Necessary Rule, Paper Document Mgmt, Right to Access, Right to Amend, Use &amp; Disclosure of PHI, Privacy Policy</w:t>
      </w:r>
      <w:r>
        <w:t xml:space="preserve"> </w:t>
      </w:r>
      <w:r>
        <w:rPr>
          <w:i/>
          <w:iCs/>
        </w:rPr>
        <w:t xml:space="preserve">(L-series + standalone)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 / technical HIPAA suite (5):</w:t>
      </w:r>
      <w:r>
        <w:t xml:space="preserve"> </w:t>
      </w:r>
      <w:r>
        <w:t xml:space="preserve">Contingency Planning</w:t>
      </w:r>
      <w:r>
        <w:t xml:space="preserve"> </w:t>
      </w:r>
      <w:r>
        <w:rPr>
          <w:i/>
          <w:iCs/>
        </w:rPr>
        <w:t xml:space="preserve">(+ pandemic / multi-vendor clause)</w:t>
      </w:r>
      <w:r>
        <w:t xml:space="preserve">, Encryption, Password Mgmt, Remote Access, Risk Mgmt, Safeguards, Security Incident Mgmt, Workstation Use</w:t>
      </w:r>
      <w:r>
        <w:t xml:space="preserve"> </w:t>
      </w:r>
      <w:r>
        <w:rPr>
          <w:i/>
          <w:iCs/>
        </w:rPr>
        <w:t xml:space="preserve">(+ BYOD / MDM clause)</w:t>
      </w:r>
      <w:r>
        <w:t xml:space="preserve"> </w:t>
      </w:r>
      <w:r>
        <w:rPr>
          <w:i/>
          <w:iCs/>
        </w:rPr>
        <w:t xml:space="preserve">(IT-series)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Frameworks &amp; lifecycle (3):</w:t>
      </w:r>
      <w:r>
        <w:t xml:space="preserve"> </w:t>
      </w:r>
      <w:r>
        <w:t xml:space="preserve">Information Security &amp; Data Governance Framework</w:t>
      </w:r>
      <w:r>
        <w:t xml:space="preserve"> </w:t>
      </w:r>
      <w:r>
        <w:rPr>
          <w:i/>
          <w:iCs/>
        </w:rPr>
        <w:t xml:space="preserve">(+ email auth clause)</w:t>
      </w:r>
      <w:r>
        <w:t xml:space="preserve">, SDLC &amp; Asset Lifecycle Policy, AWS and Aptible Security Incident Management Policy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Templates (2):</w:t>
      </w:r>
      <w:r>
        <w:t xml:space="preserve"> </w:t>
      </w:r>
      <w:r>
        <w:t xml:space="preserve">BAA-for-Subcontractor template, Insurance Authorization template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Operational (3):</w:t>
      </w:r>
      <w:r>
        <w:t xml:space="preserve"> </w:t>
      </w:r>
      <w:r>
        <w:t xml:space="preserve">Millie Clinic COVID Policy, Medical Waste Management Plan, Platform Matrix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Reference (1):</w:t>
      </w:r>
      <w:r>
        <w:t xml:space="preserve"> </w:t>
      </w:r>
      <w:r>
        <w:t xml:space="preserve">ECH Security Assessment Questions snapshot</w:t>
      </w:r>
    </w:p>
    <w:bookmarkEnd w:id="15"/>
    <w:bookmarkStart w:id="16" w:name="a.-later-additions"/>
    <w:p>
      <w:pPr>
        <w:pStyle w:val="Heading2"/>
      </w:pPr>
      <w:r>
        <w:t xml:space="preserve">4a. Later additions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2026-05-26 — Medical Waste Management Plan.</w:t>
      </w:r>
      <w:r>
        <w:t xml:space="preserve"> </w:t>
      </w:r>
      <w:r>
        <w:t xml:space="preserve">Existing Millie document that wasn’t in the original inventory. Converted via markitdown and added to both folders 1 and 3 unchanged. Covers California Medical Waste Management Act compliance (HSC §§ 117935, 117960) for small-quantity-generator status. Authored by Patricia Bevitz (Director of Clinical Operations). Not driven by ECH; added for completeness. Net effect on gap analysis: 2 SIG ESG rows moved from N/A to Partial —</w:t>
      </w:r>
      <w:r>
        <w:t xml:space="preserve"> </w:t>
      </w:r>
      <w:r>
        <w:rPr>
          <w:b/>
          <w:bCs/>
        </w:rPr>
        <w:t xml:space="preserve">O.4</w:t>
      </w:r>
      <w:r>
        <w:t xml:space="preserve"> </w:t>
      </w:r>
      <w:r>
        <w:t xml:space="preserve">(hazardous/toxic chemical handling, storage, disposal) and</w:t>
      </w:r>
      <w:r>
        <w:t xml:space="preserve"> </w:t>
      </w:r>
      <w:r>
        <w:rPr>
          <w:b/>
          <w:bCs/>
        </w:rPr>
        <w:t xml:space="preserve">O.9</w:t>
      </w:r>
      <w:r>
        <w:t xml:space="preserve"> </w:t>
      </w:r>
      <w:r>
        <w:t xml:space="preserve">(Health &amp; Safety policy) — because the Waste Plan plus the COVID Policy and Safeguards Policy together substantively address them. Neither requires a Required Fix; the Waste Plan itself is the answer.</w:t>
      </w:r>
    </w:p>
    <w:p>
      <w:r>
        <w:pict>
          <v:rect style="width:0;height:1.5pt" o:hralign="center" o:hrstd="t" o:hr="t"/>
        </w:pict>
      </w:r>
    </w:p>
    <w:bookmarkEnd w:id="16"/>
    <w:bookmarkStart w:id="17" w:name="how-to-maintain-this-folder"/>
    <w:p>
      <w:pPr>
        <w:pStyle w:val="Heading2"/>
      </w:pPr>
      <w:r>
        <w:t xml:space="preserve">5. How to maintain this folder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When ECH changes</w:t>
      </w:r>
      <w:r>
        <w:t xml:space="preserve"> </w:t>
      </w:r>
      <w:r>
        <w:t xml:space="preserve">(new vendor questionnaire, regulator update): start in</w:t>
      </w:r>
      <w:r>
        <w:t xml:space="preserve"> </w:t>
      </w:r>
      <w:r>
        <w:rPr>
          <w:rStyle w:val="VerbatimChar"/>
        </w:rPr>
        <w:t xml:space="preserve">2. gaps_for_ech/</w:t>
      </w:r>
      <w:r>
        <w:t xml:space="preserve">. Re-run the section-level analysis. Default to N/A unless ECH explicitly asks for new policy text.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When a real gap appears</w:t>
      </w:r>
      <w:r>
        <w:t xml:space="preserve">: append the smallest possible clause to an</w:t>
      </w:r>
      <w:r>
        <w:t xml:space="preserve"> </w:t>
      </w:r>
      <w:r>
        <w:rPr>
          <w:i/>
          <w:iCs/>
        </w:rPr>
        <w:t xml:space="preserve">existing</w:t>
      </w:r>
      <w:r>
        <w:t xml:space="preserve"> </w:t>
      </w:r>
      <w:r>
        <w:t xml:space="preserve">file here. Don’t create a new file unless the gap is genuinely orthogonal to every existing policy.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When a policy is materially revised</w:t>
      </w:r>
      <w:r>
        <w:t xml:space="preserve">: edit the file here directly. The diff against</w:t>
      </w:r>
      <w:r>
        <w:t xml:space="preserve"> </w:t>
      </w:r>
      <w:r>
        <w:rPr>
          <w:rStyle w:val="VerbatimChar"/>
        </w:rPr>
        <w:t xml:space="preserve">1. original_docs_markdown/</w:t>
      </w:r>
      <w:r>
        <w:t xml:space="preserve"> </w:t>
      </w:r>
      <w:r>
        <w:t xml:space="preserve">shows total drift from the original; the per-file git history shows what changed when.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Quarterly / annual review burden</w:t>
      </w:r>
      <w:r>
        <w:t xml:space="preserve"> </w:t>
      </w:r>
      <w:r>
        <w:t xml:space="preserve">is sized by file count. Keep this folder lean.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2026-05-28T14:35:21Z</dcterms:created>
  <dcterms:modified xsi:type="dcterms:W3CDTF">2026-05-28T14:35:21Z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