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coverage-csv-summary"/>
    <w:p>
      <w:pPr>
        <w:pStyle w:val="Heading1"/>
      </w:pPr>
      <w:r>
        <w:t xml:space="preserve">Coverage CSV — Summary</w:t>
      </w:r>
    </w:p>
    <w:p>
      <w:pPr>
        <w:pStyle w:val="FirstParagraph"/>
      </w:pPr>
      <w:r>
        <w:t xml:space="preserve">This summary describes the row-by-row coverage matrix at</w:t>
      </w:r>
      <w:r>
        <w:t xml:space="preserve"> </w:t>
      </w:r>
      <w:r>
        <w:rPr>
          <w:rStyle w:val="VerbatimChar"/>
        </w:rPr>
        <w:t xml:space="preserve">coverage_matrix.csv</w:t>
      </w:r>
      <w:r>
        <w:t xml:space="preserve"> </w:t>
      </w:r>
      <w:r>
        <w:t xml:space="preserve">in the same directory. The CSV is the authoritative per-row analysis;</w:t>
      </w:r>
      <w:r>
        <w:t xml:space="preserve"> </w:t>
      </w:r>
      <w:r>
        <w:rPr>
          <w:rStyle w:val="VerbatimChar"/>
        </w:rPr>
        <w:t xml:space="preserve">SUMMARY.md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GAPS.md</w:t>
      </w:r>
      <w:r>
        <w:t xml:space="preserve"> </w:t>
      </w:r>
      <w:r>
        <w:t xml:space="preserve">remain useful for exec-readable structure.</w:t>
      </w:r>
    </w:p>
    <w:p>
      <w:pPr>
        <w:pStyle w:val="BodyText"/>
      </w:pPr>
      <w:r>
        <w:t xml:space="preserve">The matrix is generated against the 29-policy</w:t>
      </w:r>
      <w:r>
        <w:t xml:space="preserve"> </w:t>
      </w:r>
      <w:r>
        <w:rPr>
          <w:rStyle w:val="VerbatimChar"/>
        </w:rPr>
        <w:t xml:space="preserve">3. final_policies/</w:t>
      </w:r>
      <w:r>
        <w:t xml:space="preserve"> </w:t>
      </w:r>
      <w:r>
        <w:t xml:space="preserve">set. The CSV’s</w:t>
      </w:r>
      <w:r>
        <w:t xml:space="preserve"> </w:t>
      </w:r>
      <w:r>
        <w:rPr>
          <w:b/>
          <w:bCs/>
        </w:rPr>
        <w:t xml:space="preserve">Plain English</w:t>
      </w:r>
      <w:r>
        <w:t xml:space="preserve"> </w:t>
      </w:r>
      <w:r>
        <w:t xml:space="preserve">column is a layman’s translation of each questionnaire item for non-security readers.</w:t>
      </w:r>
    </w:p>
    <w:p>
      <w:pPr>
        <w:pStyle w:val="BodyText"/>
      </w:pPr>
      <w:r>
        <w:rPr>
          <w:b/>
          <w:bCs/>
        </w:rPr>
        <w:t xml:space="preserve">Source CSV:</w:t>
      </w:r>
      <w:r>
        <w:t xml:space="preserve"> </w:t>
      </w:r>
      <w:r>
        <w:rPr>
          <w:rStyle w:val="VerbatimChar"/>
        </w:rPr>
        <w:t xml:space="preserve">ECH Security Assessment Questions - Sheet2.csv</w:t>
      </w:r>
      <w:r>
        <w:t xml:space="preserve"> </w:t>
      </w:r>
      <w:r>
        <w:t xml:space="preserve">(repo root) — the expanded 212-row × 16-column workbook supersedes the prior 182-row</w:t>
      </w:r>
      <w:r>
        <w:t xml:space="preserve"> </w:t>
      </w:r>
      <w:r>
        <w:rPr>
          <w:rStyle w:val="VerbatimChar"/>
        </w:rPr>
        <w:t xml:space="preserve">Questions.csv</w:t>
      </w:r>
      <w:r>
        <w:t xml:space="preserve">. New columns include</w:t>
      </w:r>
      <w:r>
        <w:t xml:space="preserve"> </w:t>
      </w:r>
      <w:r>
        <w:rPr>
          <w:rStyle w:val="VerbatimChar"/>
        </w:rPr>
        <w:t xml:space="preserve">Additional Info Added</w:t>
      </w:r>
      <w:r>
        <w:t xml:space="preserve"> </w:t>
      </w:r>
      <w:r>
        <w:t xml:space="preserve">(col 7), which carries user-authoritative answers and overrides the AI-provided coverage where populated.</w:t>
      </w:r>
    </w:p>
    <w:p>
      <w:pPr>
        <w:pStyle w:val="BodyText"/>
      </w:pPr>
      <w:r>
        <w:rPr>
          <w:b/>
          <w:bCs/>
        </w:rPr>
        <w:t xml:space="preserve">Total rows:</w:t>
      </w:r>
      <w:r>
        <w:t xml:space="preserve"> </w:t>
      </w:r>
      <w:r>
        <w:t xml:space="preserve">212 (expected 212; previously 182)</w:t>
      </w:r>
    </w:p>
    <w:bookmarkStart w:id="9" w:name="coverage-counts"/>
    <w:p>
      <w:pPr>
        <w:pStyle w:val="Heading2"/>
      </w:pPr>
      <w:r>
        <w:t xml:space="preserve">Coverage counts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Coverage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120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Evidence-only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</w:tbl>
    <w:bookmarkEnd w:id="9"/>
    <w:bookmarkStart w:id="10" w:name="flag-risk-counts"/>
    <w:p>
      <w:pPr>
        <w:pStyle w:val="Heading2"/>
      </w:pPr>
      <w:r>
        <w:t xml:space="preserve">Flag Risk counts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Flag Risk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120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</w:tr>
    </w:tbl>
    <w:bookmarkEnd w:id="10"/>
    <w:bookmarkStart w:id="12" w:name="required-fix-totals"/>
    <w:p>
      <w:pPr>
        <w:pStyle w:val="Heading2"/>
      </w:pPr>
      <w:r>
        <w:t xml:space="preserve">Required Fix totals</w:t>
      </w:r>
    </w:p>
    <w:p>
      <w:pPr>
        <w:pStyle w:val="FirstParagraph"/>
      </w:pPr>
      <w:r>
        <w:rPr>
          <w:b/>
          <w:bCs/>
        </w:rPr>
        <w:t xml:space="preserve">Total word count of all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Required Fix - Text</w:t>
      </w:r>
      <w:r>
        <w:rPr>
          <w:b/>
          <w:bCs/>
        </w:rPr>
        <w:t xml:space="preserve"> </w:t>
      </w:r>
      <w:r>
        <w:rPr>
          <w:b/>
          <w:bCs/>
        </w:rPr>
        <w:t xml:space="preserve">values:</w:t>
      </w:r>
      <w:r>
        <w:t xml:space="preserve"> </w:t>
      </w:r>
      <w:r>
        <w:t xml:space="preserve">750</w:t>
      </w:r>
    </w:p>
    <w:bookmarkStart w:id="11" w:name="files-needing-additions-cumulative-words"/>
    <w:p>
      <w:pPr>
        <w:pStyle w:val="Heading3"/>
      </w:pPr>
      <w:r>
        <w:t xml:space="preserve">Files needing additions (cumulative words)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Cumulative words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Millie Information Security &amp; Data Governance Framework (1).md</w:t>
            </w:r>
          </w:p>
        </w:tc>
        <w:tc>
          <w:tcPr/>
          <w:p>
            <w:pPr>
              <w:pStyle w:val="Compact"/>
            </w:pPr>
            <w:r>
              <w:t xml:space="preserve">543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System Development Life Cycle (SDLC) &amp; Asset Lifecycle Policy.md</w:t>
            </w:r>
          </w:p>
        </w:tc>
        <w:tc>
          <w:tcPr/>
          <w:p>
            <w:pPr>
              <w:pStyle w:val="Compact"/>
            </w:pPr>
            <w:r>
              <w:t xml:space="preserve">92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03o HIPAA - Password Management Policy.md</w:t>
            </w:r>
          </w:p>
        </w:tc>
        <w:tc>
          <w:tcPr/>
          <w:p>
            <w:pPr>
              <w:pStyle w:val="Compact"/>
            </w:pPr>
            <w:r>
              <w:t xml:space="preserve">53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03s HIPAA - Security Incident Management Policy (2).md</w:t>
            </w:r>
          </w:p>
        </w:tc>
        <w:tc>
          <w:tcPr/>
          <w:p>
            <w:pPr>
              <w:pStyle w:val="Compact"/>
            </w:pPr>
            <w:r>
              <w:t xml:space="preserve">31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03d HIPAA - Contingency Planning Policy (1).md</w:t>
            </w:r>
          </w:p>
        </w:tc>
        <w:tc>
          <w:tcPr/>
          <w:p>
            <w:pPr>
              <w:pStyle w:val="Compact"/>
            </w:pPr>
            <w:r>
              <w:t xml:space="preserve">31</w:t>
            </w:r>
          </w:p>
        </w:tc>
      </w:tr>
    </w:tbl>
    <w:p>
      <w:pPr>
        <w:pStyle w:val="BodyText"/>
      </w:pPr>
      <w:r>
        <w:t xml:space="preserve">The SDLC file’s cumulative word count rose from 57 to 92 because the new SIG Lite I.3.1 row (web-server configuration standards) appends a hardening-baseline clause.</w:t>
      </w:r>
    </w:p>
    <w:bookmarkEnd w:id="11"/>
    <w:bookmarkEnd w:id="12"/>
    <w:bookmarkStart w:id="13" w:name="top-high-risk-rows-flag-risk-high"/>
    <w:p>
      <w:pPr>
        <w:pStyle w:val="Heading2"/>
      </w:pPr>
      <w:r>
        <w:t xml:space="preserve">Top High-risk rows (Flag Risk = High)</w:t>
      </w:r>
    </w:p>
    <w:p>
      <w:pPr>
        <w:pStyle w:val="FirstParagraph"/>
      </w:pPr>
      <w:r>
        <w:t xml:space="preserve">19 rows are High-risk. Submission-evidence rows (Insurances, Security Audits) and Supply Chain Risk Management (S.32, S.57, S.61, S.80, S.100) dominate. The full list is in the CSV — filter</w:t>
      </w:r>
      <w:r>
        <w:t xml:space="preserve"> </w:t>
      </w:r>
      <w:r>
        <w:rPr>
          <w:rStyle w:val="VerbatimChar"/>
        </w:rPr>
        <w:t xml:space="preserve">Flag Risk = High</w:t>
      </w:r>
      <w:r>
        <w:t xml:space="preserve">.</w:t>
      </w:r>
    </w:p>
    <w:p>
      <w:pPr>
        <w:pStyle w:val="BodyText"/>
      </w:pPr>
      <w:r>
        <w:t xml:space="preserve">Notable groupings: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Group</w:t>
            </w:r>
          </w:p>
        </w:tc>
        <w:tc>
          <w:tcPr/>
          <w:p>
            <w:pPr>
              <w:pStyle w:val="Compact"/>
            </w:pPr>
            <w:r>
              <w:t xml:space="preserve">Items</w:t>
            </w:r>
          </w:p>
        </w:tc>
        <w:tc>
          <w:tcPr/>
          <w:p>
            <w:pPr>
              <w:pStyle w:val="Compact"/>
            </w:pPr>
            <w:r>
              <w:t xml:space="preserve">Driver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Submission-evidence artifacts</w:t>
            </w:r>
          </w:p>
        </w:tc>
        <w:tc>
          <w:tcPr/>
          <w:p>
            <w:pPr>
              <w:pStyle w:val="Compact"/>
            </w:pPr>
            <w:r>
              <w:t xml:space="preserve">Insurances 1, Security Audits 1 &amp; 2</w:t>
            </w:r>
          </w:p>
        </w:tc>
        <w:tc>
          <w:tcPr/>
          <w:p>
            <w:pPr>
              <w:pStyle w:val="Compact"/>
            </w:pPr>
            <w:r>
              <w:t xml:space="preserve">Documents must be attached to the ECH submission; no policy edit.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Endpoint / MDM operationalization</w:t>
            </w:r>
          </w:p>
        </w:tc>
        <w:tc>
          <w:tcPr/>
          <w:p>
            <w:pPr>
              <w:pStyle w:val="Compact"/>
            </w:pPr>
            <w:r>
              <w:t xml:space="preserve">M.1.3, M.1.5, M.1.6</w:t>
            </w:r>
          </w:p>
        </w:tc>
        <w:tc>
          <w:tcPr/>
          <w:p>
            <w:pPr>
              <w:pStyle w:val="Compact"/>
            </w:pPr>
            <w:r>
              <w:t xml:space="preserve">Workstation Use §III(d) documents the BYOD/MDM stance; vendor implementation pending.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Supply Chain Risk (NIST SP 800-161)</w:t>
            </w:r>
          </w:p>
        </w:tc>
        <w:tc>
          <w:tcPr/>
          <w:p>
            <w:pPr>
              <w:pStyle w:val="Compact"/>
            </w:pPr>
            <w:r>
              <w:t xml:space="preserve">S.32, S.57, S.61, S.80, S.100</w:t>
            </w:r>
          </w:p>
        </w:tc>
        <w:tc>
          <w:tcPr/>
          <w:p>
            <w:pPr>
              <w:pStyle w:val="Compact"/>
            </w:pPr>
            <w:r>
              <w:t xml:space="preserve">C-SCRM program not adopted at Millie’s scale; defensible but assessor may push back.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Operational resilience</w:t>
            </w:r>
          </w:p>
        </w:tc>
        <w:tc>
          <w:tcPr/>
          <w:p>
            <w:pPr>
              <w:pStyle w:val="Compact"/>
            </w:pPr>
            <w:r>
              <w:t xml:space="preserve">K.2, K.4, K.30</w:t>
            </w:r>
          </w:p>
        </w:tc>
        <w:tc>
          <w:tcPr/>
          <w:p>
            <w:pPr>
              <w:pStyle w:val="Compact"/>
            </w:pPr>
            <w:r>
              <w:t xml:space="preserve">DR exercise, pandemic plan, multi-vendor resiliency strategy require explicit articulation.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OWASP / app-security framing</w:t>
            </w:r>
          </w:p>
        </w:tc>
        <w:tc>
          <w:tcPr/>
          <w:p>
            <w:pPr>
              <w:pStyle w:val="Compact"/>
            </w:pPr>
            <w:r>
              <w:t xml:space="preserve">A02, A06, A07</w:t>
            </w:r>
          </w:p>
        </w:tc>
        <w:tc>
          <w:tcPr/>
          <w:p>
            <w:pPr>
              <w:pStyle w:val="Compact"/>
            </w:pPr>
            <w:r>
              <w:t xml:space="preserve">Password Management Policy lacks server-side hashing / scanner-cadence / session-token language.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Monitoring methodology</w:t>
            </w:r>
          </w:p>
        </w:tc>
        <w:tc>
          <w:tcPr/>
          <w:p>
            <w:pPr>
              <w:pStyle w:val="Compact"/>
            </w:pPr>
            <w:r>
              <w:t xml:space="preserve">G.2, J.5</w:t>
            </w:r>
          </w:p>
        </w:tc>
        <w:tc>
          <w:tcPr/>
          <w:p>
            <w:pPr>
              <w:pStyle w:val="Compact"/>
            </w:pPr>
            <w:r>
              <w:t xml:space="preserve">Change control + log-review cadence not documented at required specificity.</w:t>
            </w:r>
          </w:p>
        </w:tc>
      </w:tr>
    </w:tbl>
    <w:bookmarkEnd w:id="13"/>
    <w:bookmarkStart w:id="14" w:name="per-questionnaire-breakdown"/>
    <w:p>
      <w:pPr>
        <w:pStyle w:val="Heading2"/>
      </w:pPr>
      <w:r>
        <w:t xml:space="preserve">Per-questionnaire breakdown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Questionnaire</w:t>
            </w:r>
          </w:p>
        </w:tc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Evidence-only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AWS Questionnaire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ISD IT Risk Assessment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OWASP Top 10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PCI DSS Assessment Form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 Lite 2025</w:t>
            </w:r>
          </w:p>
        </w:tc>
        <w:tc>
          <w:tcPr/>
          <w:p>
            <w:pPr>
              <w:pStyle w:val="Compact"/>
            </w:pPr>
            <w:r>
              <w:t xml:space="preserve">107</w:t>
            </w:r>
          </w:p>
        </w:tc>
        <w:tc>
          <w:tcPr/>
          <w:p>
            <w:pPr>
              <w:pStyle w:val="Compact"/>
            </w:pPr>
            <w:r>
              <w:t xml:space="preserve">53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Insurances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Audits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</w:tbl>
    <w:p>
      <w:pPr>
        <w:pStyle w:val="BodyText"/>
      </w:pPr>
      <w:r>
        <w:t xml:space="preserve">ISD grew by 12 rows (mostly Additional Cybersecurity 5.x SMTP/email subqueries plus End-user / Telecom / Server sub-detail). SIG Lite grew by 18 rows (mostly P.2.x privacy classifications, M.1.x endpoint subqueries, H.2.1 password confidentiality, I.3.x web/API hardening, J.5.1 malware monitoring, P.3.1 / P.5.1 / P.5.3 privacy documentation).</w:t>
      </w:r>
    </w:p>
    <w:bookmarkEnd w:id="14"/>
    <w:bookmarkStart w:id="15" w:name="user-authoritative-input"/>
    <w:p>
      <w:pPr>
        <w:pStyle w:val="Heading2"/>
      </w:pPr>
      <w:r>
        <w:t xml:space="preserve">User-authoritative input</w:t>
      </w:r>
    </w:p>
    <w:p>
      <w:pPr>
        <w:pStyle w:val="FirstParagraph"/>
      </w:pPr>
      <w:r>
        <w:t xml:space="preserve">The user populated 169 cells in the</w:t>
      </w:r>
      <w:r>
        <w:t xml:space="preserve"> </w:t>
      </w:r>
      <w:r>
        <w:rPr>
          <w:rStyle w:val="VerbatimChar"/>
        </w:rPr>
        <w:t xml:space="preserve">Current Answer</w:t>
      </w:r>
      <w:r>
        <w:t xml:space="preserve"> </w:t>
      </w:r>
      <w:r>
        <w:t xml:space="preserve">column (137 of those are new vs the original ECH-provided answers) plus 10 in</w:t>
      </w:r>
      <w:r>
        <w:t xml:space="preserve"> </w:t>
      </w:r>
      <w:r>
        <w:rPr>
          <w:rStyle w:val="VerbatimChar"/>
        </w:rPr>
        <w:t xml:space="preserve">Additional Info Added</w:t>
      </w:r>
      <w:r>
        <w:t xml:space="preserve">. In every case the user’s content is treated as authoritative and is the lead of the Proposed Answer; AI elaboration follows as supporting context, never as a contradiction.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Source of user input</w:t>
            </w:r>
          </w:p>
        </w:tc>
        <w:tc>
          <w:tcPr/>
          <w:p>
            <w:pPr>
              <w:pStyle w:val="Compact"/>
            </w:pPr>
            <w:r>
              <w:t xml:space="preserve">Rows populated</w:t>
            </w:r>
          </w:p>
        </w:tc>
        <w:tc>
          <w:tcPr/>
          <w:p>
            <w:pPr>
              <w:pStyle w:val="Compact"/>
            </w:pPr>
            <w:r>
              <w:t xml:space="preserve">New vs original ECH</w:t>
            </w:r>
          </w:p>
        </w:tc>
        <w:tc>
          <w:tcPr/>
          <w:p>
            <w:pPr>
              <w:pStyle w:val="Compact"/>
            </w:pPr>
            <w:r>
              <w:t xml:space="preserve">Treatment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Current Answer</w:t>
            </w:r>
            <w:r>
              <w:t xml:space="preserve"> </w:t>
            </w:r>
            <w:r>
              <w:t xml:space="preserve">(user-modified or user-added)</w:t>
            </w:r>
          </w:p>
        </w:tc>
        <w:tc>
          <w:tcPr/>
          <w:p>
            <w:pPr>
              <w:pStyle w:val="Compact"/>
            </w:pPr>
            <w:r>
              <w:t xml:space="preserve">169</w:t>
            </w:r>
          </w:p>
        </w:tc>
        <w:tc>
          <w:tcPr/>
          <w:p>
            <w:pPr>
              <w:pStyle w:val="Compact"/>
            </w:pPr>
            <w:r>
              <w:t xml:space="preserve">137</w:t>
            </w:r>
          </w:p>
        </w:tc>
        <w:tc>
          <w:tcPr/>
          <w:p>
            <w:pPr>
              <w:pStyle w:val="Compact"/>
            </w:pPr>
            <w:r>
              <w:t xml:space="preserve">Lead the Proposed Answer; upgrade Coverage where warranted; lower Flag Risk one step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Additional Info Added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Same treatment</w:t>
            </w:r>
          </w:p>
        </w:tc>
      </w:tr>
    </w:tbl>
    <w:p>
      <w:pPr>
        <w:pStyle w:val="BodyText"/>
      </w:pPr>
      <w:r>
        <w:rPr>
          <w:b/>
          <w:bCs/>
        </w:rPr>
        <w:t xml:space="preserve">Of the 137 user-modified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Current Answer</w:t>
      </w:r>
      <w:r>
        <w:rPr>
          <w:b/>
          <w:bCs/>
        </w:rPr>
        <w:t xml:space="preserve"> </w:t>
      </w:r>
      <w:r>
        <w:rPr>
          <w:b/>
          <w:bCs/>
        </w:rPr>
        <w:t xml:space="preserve">rows, 117 (85%) had the user’s answer already integrated</w:t>
      </w:r>
      <w:r>
        <w:t xml:space="preserve"> </w:t>
      </w:r>
      <w:r>
        <w:t xml:space="preserve">by the initial generation pass. The remaining 20 were fixed manually in a follow-up pass — these were cases where the AI elaborated past or contradicted the user’s literal input. Notable manual fixes: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ISD Additional Cybersecurity Q4 (vuln scanning)</w:t>
      </w:r>
      <w:r>
        <w:t xml:space="preserve"> </w:t>
      </w:r>
      <w:r>
        <w:t xml:space="preserve">— user said</w:t>
      </w:r>
      <w:r>
        <w:t xml:space="preserve"> </w:t>
      </w:r>
      <w:r>
        <w:t xml:space="preserve">“No”</w:t>
      </w:r>
      <w:r>
        <w:t xml:space="preserve"> </w:t>
      </w:r>
      <w:r>
        <w:t xml:space="preserve">(vendor Millie does not scan ECH’s environment); AI had incorrectly said</w:t>
      </w:r>
      <w:r>
        <w:t xml:space="preserve"> </w:t>
      </w:r>
      <w:r>
        <w:t xml:space="preserve">“Yes.”</w:t>
      </w:r>
      <w:r>
        <w:t xml:space="preserve"> </w:t>
      </w:r>
      <w:r>
        <w:t xml:space="preserve">Corrected.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SIG M.1.3 (MDM program)</w:t>
      </w:r>
      <w:r>
        <w:t xml:space="preserve"> </w:t>
      </w:r>
      <w:r>
        <w:t xml:space="preserve">— user said</w:t>
      </w:r>
      <w:r>
        <w:t xml:space="preserve"> </w:t>
      </w:r>
      <w:r>
        <w:t xml:space="preserve">“NO”</w:t>
      </w:r>
      <w:r>
        <w:t xml:space="preserve"> </w:t>
      </w:r>
      <w:r>
        <w:t xml:space="preserve">(no operational MDM vendor yet); AI had said</w:t>
      </w:r>
      <w:r>
        <w:t xml:space="preserve"> </w:t>
      </w:r>
      <w:r>
        <w:t xml:space="preserve">“Yes”</w:t>
      </w:r>
      <w:r>
        <w:t xml:space="preserve"> </w:t>
      </w:r>
      <w:r>
        <w:t xml:space="preserve">citing the Workstation Use Policy stance. Corrected — policy stance documented, operational deployment pending; Flag Risk stays High.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SIG O.4 (hazardous chemicals)</w:t>
      </w:r>
      <w:r>
        <w:t xml:space="preserve"> </w:t>
      </w:r>
      <w:r>
        <w:t xml:space="preserve">— user said</w:t>
      </w:r>
      <w:r>
        <w:t xml:space="preserve"> </w:t>
      </w:r>
      <w:r>
        <w:t xml:space="preserve">“Yes”</w:t>
      </w:r>
      <w:r>
        <w:t xml:space="preserve">; AI had said</w:t>
      </w:r>
      <w:r>
        <w:t xml:space="preserve"> </w:t>
      </w:r>
      <w:r>
        <w:t xml:space="preserve">“Partial.”</w:t>
      </w:r>
      <w:r>
        <w:t xml:space="preserve"> </w:t>
      </w:r>
      <w:r>
        <w:t xml:space="preserve">Promoted to Full per Medical Waste Management Plan.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SIG O.9 (Health &amp; Safety policy)</w:t>
      </w:r>
      <w:r>
        <w:t xml:space="preserve"> </w:t>
      </w:r>
      <w:r>
        <w:t xml:space="preserve">— user said</w:t>
      </w:r>
      <w:r>
        <w:t xml:space="preserve"> </w:t>
      </w:r>
      <w:r>
        <w:t xml:space="preserve">“N/A”</w:t>
      </w:r>
      <w:r>
        <w:t xml:space="preserve"> </w:t>
      </w:r>
      <w:r>
        <w:t xml:space="preserve">(no standalone policy at Millie’s headcount); AI had said</w:t>
      </w:r>
      <w:r>
        <w:t xml:space="preserve"> </w:t>
      </w:r>
      <w:r>
        <w:t xml:space="preserve">“Partial.”</w:t>
      </w:r>
      <w:r>
        <w:t xml:space="preserve"> </w:t>
      </w:r>
      <w:r>
        <w:t xml:space="preserve">Demoted to N/A.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ISD Timeline rows</w:t>
      </w:r>
      <w:r>
        <w:t xml:space="preserve"> </w:t>
      </w:r>
      <w:r>
        <w:t xml:space="preserve">— user provided specific dates (2026-07-31 start, 45-day duration) and a detailed project-scope paragraph; AI had given generic</w:t>
      </w:r>
      <w:r>
        <w:t xml:space="preserve"> </w:t>
      </w:r>
      <w:r>
        <w:t xml:space="preserve">“to be confirmed”</w:t>
      </w:r>
      <w:r>
        <w:t xml:space="preserve"> </w:t>
      </w:r>
      <w:r>
        <w:t xml:space="preserve">placeholders. Replaced with user’s actual values.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ISD Request Details Q3–Q5, IAM Q3, EUC Q2–Q3, Telecom Q1, Integration Q1, Additional Cyber Q6</w:t>
      </w:r>
      <w:r>
        <w:t xml:space="preserve"> </w:t>
      </w:r>
      <w:r>
        <w:t xml:space="preserve">— user provided concrete values where AI had reframed the question. Replaced with user’s literal answers.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The CSV is the authoritative per-row analysis.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SUMMARY.md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GAPS.md</w:t>
      </w:r>
      <w:r>
        <w:rPr>
          <w:i/>
          <w:iCs/>
        </w:rPr>
        <w:t xml:space="preserve"> </w:t>
      </w:r>
      <w:r>
        <w:rPr>
          <w:i/>
          <w:iCs/>
        </w:rPr>
        <w:t xml:space="preserve">remain useful for exec-readable structure but reflect section-level / actionable-subset framing rather than per-row grades.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2026-05-28T14:35:21Z</dcterms:created>
  <dcterms:modified xsi:type="dcterms:W3CDTF">2026-05-28T14:35:21Z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