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eal-gaps-actionable-subset"/>
    <w:p>
      <w:pPr>
        <w:pStyle w:val="Heading1"/>
      </w:pPr>
      <w:r>
        <w:t xml:space="preserve">Real Gaps — Actionable Subset</w:t>
      </w:r>
    </w:p>
    <w:p>
      <w:pPr>
        <w:pStyle w:val="FirstParagraph"/>
      </w:pPr>
      <w:r>
        <w:t xml:space="preserve">Eight sections have genuine gaps after the row-level verification (see</w:t>
      </w:r>
      <w:r>
        <w:t xml:space="preserve"> </w:t>
      </w:r>
      <w:hyperlink r:id="rId9">
        <w:r>
          <w:rPr>
            <w:rStyle w:val="Hyperlink"/>
          </w:rPr>
          <w:t xml:space="preserve">ROW-LEVEL-VERIFICATION.md</w:t>
        </w:r>
      </w:hyperlink>
      <w:r>
        <w:t xml:space="preserve">). All eight collapse into short clauses appended to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files — no new policy documents required. One is evidence-only and needs an attachment rather than a policy edit.</w:t>
      </w:r>
    </w:p>
    <w:p>
      <w:pPr>
        <w:pStyle w:val="BodyText"/>
      </w:pPr>
      <w:r>
        <w:t xml:space="preserve">Gaps 1–4 surfaced in the initial section-level pass. Gaps 5–9 surfaced in the row-level verification that followed (the section pass was too coarse and hid these inside sections it called</w:t>
      </w:r>
      <w:r>
        <w:t xml:space="preserve"> </w:t>
      </w:r>
      <w:r>
        <w:t xml:space="preserve">“No Gap”</w:t>
      </w:r>
      <w:r>
        <w:t xml:space="preserve"> </w:t>
      </w:r>
      <w:r>
        <w:t xml:space="preserve">— notably the C-SCRM gap inside SIG S).</w:t>
      </w:r>
    </w:p>
    <w:p>
      <w:r>
        <w:pict>
          <v:rect style="width:0;height:1.5pt" o:hralign="center" o:hrstd="t" o:hr="t"/>
        </w:pict>
      </w:r>
    </w:p>
    <w:bookmarkStart w:id="10" w:name="X3825546a2381814da5664bd1c1dcb831ccf9942"/>
    <w:p>
      <w:pPr>
        <w:pStyle w:val="Heading2"/>
      </w:pPr>
      <w:r>
        <w:t xml:space="preserve">Gap 1 — Email Authentication &amp; Anti-Malware Exclusions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ISD IT Risk Assessment / Additional Cybersecurity Questions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50, 51, 55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Stance on AV / security exclusions, vuln-scan exclusions, and whether the third-party adopts DMARC.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Nothing. No active original addresses DMARC / SPF / DKIM or anti-malware exclusion handling.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one-paragraph clause stating: Millie uses Google Workspace’s built-in anti-malware (no custom exclusions); transactional email is sent via SendGrid with SPF, DKIM, and DMARC configured at policy = quarantine or reject; vulnerability scanning is performed against in-scope hosted services (Aptible / AWS) with no application-side exclusions, and any one-off operational exclusion requires Chief Security Officer approval.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Framework.md</w:t>
      </w:r>
      <w:r>
        <w:t xml:space="preserve"> </w:t>
      </w:r>
      <w:r>
        <w:t xml:space="preserve">— append to §6 Data Transmission &amp; Sharing.</w:t>
      </w:r>
    </w:p>
    <w:p>
      <w:r>
        <w:pict>
          <v:rect style="width:0;height:1.5pt" o:hralign="center" o:hrstd="t" o:hr="t"/>
        </w:pict>
      </w:r>
    </w:p>
    <w:bookmarkEnd w:id="10"/>
    <w:bookmarkStart w:id="11" w:name="gap-2-byod-mobile-device-management"/>
    <w:p>
      <w:pPr>
        <w:pStyle w:val="Heading2"/>
      </w:pPr>
      <w:r>
        <w:t xml:space="preserve">Gap 2 — BYOD &amp; Mobile Device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M. Endpoint Security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132 (M.1.3), 133 (M.1.5), 134 (M.1.6) — all flagged</w:t>
      </w:r>
      <w:r>
        <w:t xml:space="preserve"> </w:t>
      </w:r>
      <w:r>
        <w:t xml:space="preserve">“FOLLOW UP”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documented MDM program; a stance on non-company devices touching the network; a stance on BYOD with scoped 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Workstation Use Policy</w:t>
      </w:r>
      <w:r>
        <w:t xml:space="preserve"> </w:t>
      </w:r>
      <w:r>
        <w:t xml:space="preserve">references mobile phones / iPads and locking timeouts, and</w:t>
      </w:r>
      <w:r>
        <w:t xml:space="preserve"> </w:t>
      </w:r>
      <w:r>
        <w:rPr>
          <w:rStyle w:val="VerbatimChar"/>
        </w:rPr>
        <w:t xml:space="preserve">Remote Access Policy</w:t>
      </w:r>
      <w:r>
        <w:t xml:space="preserve"> </w:t>
      </w:r>
      <w:r>
        <w:t xml:space="preserve">covers Users on personal devices, but no BYOD / MDM stance is documented.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one-paragraph clause stating: BYOD is permitted for email, Slack, and approved SaaS only — no PHI may be stored locally on personal devices. Company-issued devices and personal devices that access PHI must be enrolled in Millie’s MDM (vendor selection pending; tracked operationally), require device passcode + auto-lock + disk encryption + remote-wipe capability, and may be remotely wiped on termination or loss. Non-managed personal devices are restricted to web-based SaaS via SSO / MFA and may not store PHI.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03w HIPAA - Workstation Use Policy.md</w:t>
      </w:r>
      <w:r>
        <w:t xml:space="preserve"> </w:t>
      </w:r>
      <w:r>
        <w:t xml:space="preserve">— append as new procedure section</w:t>
      </w:r>
      <w:r>
        <w:t xml:space="preserve"> </w:t>
      </w:r>
      <w:r>
        <w:t xml:space="preserve">“BYOD &amp; Mobile Device Management.”</w:t>
      </w:r>
    </w:p>
    <w:p>
      <w:r>
        <w:pict>
          <v:rect style="width:0;height:1.5pt" o:hralign="center" o:hrstd="t" o:hr="t"/>
        </w:pict>
      </w:r>
    </w:p>
    <w:bookmarkEnd w:id="11"/>
    <w:bookmarkStart w:id="12" w:name="X9e595cefb789ca6337e2b790d1586d477001c57"/>
    <w:p>
      <w:pPr>
        <w:pStyle w:val="Heading2"/>
      </w:pPr>
      <w:r>
        <w:t xml:space="preserve">Gap 3 — Pandemic Operations &amp; Multi-Vendor Resiliency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K. Operational Resilience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119 (K.4 — answered NO), 124 (K.30 — answered NO)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pandemic / infectious-disease outbreak plan, and a resiliency strategy with multi-vendor risk mitigation.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Millie Clinic COVID Policy.md</w:t>
      </w:r>
      <w:r>
        <w:t xml:space="preserve"> </w:t>
      </w:r>
      <w:r>
        <w:t xml:space="preserve">covers patient-facing isolation / exposure logic but is silent on staff-facing operational continuity.</w:t>
      </w:r>
      <w:r>
        <w:t xml:space="preserve"> </w:t>
      </w:r>
      <w:r>
        <w:rPr>
          <w:rStyle w:val="VerbatimChar"/>
        </w:rPr>
        <w:t xml:space="preserve">Contingency Planning Policy</w:t>
      </w:r>
      <w:r>
        <w:t xml:space="preserve"> </w:t>
      </w:r>
      <w:r>
        <w:t xml:space="preserve">covers data backup, IT contingency, and disaster recovery but not pandemic operations or single-vendor concentration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one-paragraph clause stating: For pandemic / infectious-disease events, Millie’s COVID Policy (or its successor) governs patient interactions; clinical operations may shift to telehealth-first scheduling, on-site staffing reduces to essential personnel, and PPE protocols follow current CDPH / CDC guidance. Millie operates a cloud-first stack with single-vendor dependencies on Aptible (compute / databases), AWS (storage / logging), Cloudflare (DNS / CDN), and Google Workspace (collaboration); this concentration is a documented accepted risk reviewed annually by the Chief Security Officer, with exit considerations (data portability, vendor lock-in) factored into the BAA review for each.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03d HIPAA - Contingency Planning Policy.md</w:t>
      </w:r>
      <w:r>
        <w:t xml:space="preserve"> </w:t>
      </w:r>
      <w:r>
        <w:t xml:space="preserve">— append as new section</w:t>
      </w:r>
      <w:r>
        <w:t xml:space="preserve"> </w:t>
      </w:r>
      <w:r>
        <w:t xml:space="preserve">“Pandemic Operations &amp; Multi-Vendor Risk.”</w:t>
      </w:r>
    </w:p>
    <w:p>
      <w:r>
        <w:pict>
          <v:rect style="width:0;height:1.5pt" o:hralign="center" o:hrstd="t" o:hr="t"/>
        </w:pict>
      </w:r>
    </w:p>
    <w:bookmarkEnd w:id="12"/>
    <w:bookmarkStart w:id="13" w:name="X78d3a1167efe03d1f37268024bdd6a1460b1ac3"/>
    <w:p>
      <w:pPr>
        <w:pStyle w:val="Heading2"/>
      </w:pPr>
      <w:r>
        <w:t xml:space="preserve">Gap 4 — Insurance Certificate + Audit Attestations (Evidence, not Policy)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Insurances + Security Audits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181, 182, 183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Attached documents — cyber-liability certificate; pentest report; general security audit (SOC 2 / HITRUST /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Contingency Planning Policy.md</w:t>
      </w:r>
      <w:r>
        <w:t xml:space="preserve"> </w:t>
      </w:r>
      <w:r>
        <w:t xml:space="preserve">§III(h) commits to obtaining cyber-liability insurance but does not substitute for the certificate.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add:</w:t>
      </w:r>
      <w:r>
        <w:t xml:space="preserve"> </w:t>
      </w:r>
      <w:r>
        <w:rPr>
          <w:b/>
          <w:bCs/>
        </w:rPr>
        <w:t xml:space="preserve">No policy change.</w:t>
      </w:r>
      <w:r>
        <w:t xml:space="preserve"> </w:t>
      </w:r>
      <w:r>
        <w:t xml:space="preserve">Attach the actual cyber-liability certificate to the ECH submission package. For pentest + general audit: either commission a third-party pentest (recommended for credibility) or answer truthfully</w:t>
      </w:r>
      <w:r>
        <w:t xml:space="preserve"> </w:t>
      </w:r>
      <w:r>
        <w:t xml:space="preserve">“none currently on file; will share when commissioned.”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Where to add it:</w:t>
      </w:r>
      <w:r>
        <w:t xml:space="preserve"> </w:t>
      </w:r>
      <w:r>
        <w:t xml:space="preserve">N/A — submission package, not policy text.</w:t>
      </w:r>
    </w:p>
    <w:p>
      <w:r>
        <w:pict>
          <v:rect style="width:0;height:1.5pt" o:hralign="center" o:hrstd="t" o:hr="t"/>
        </w:pict>
      </w:r>
    </w:p>
    <w:bookmarkEnd w:id="13"/>
    <w:bookmarkStart w:id="14" w:name="gap-5-dr-exercise-testing-cadence"/>
    <w:p>
      <w:pPr>
        <w:pStyle w:val="Heading2"/>
      </w:pPr>
      <w:r>
        <w:t xml:space="preserve">Gap 5 — DR Exercise / Testing Cadence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K. Operational Resilience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117 (K.2 — flagged FOLLOW UP)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Evidence that the DR plan is actually exercised / tested, with cadence and documentation.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Contingency Planning Policy.md</w:t>
      </w:r>
      <w:r>
        <w:t xml:space="preserve"> </w:t>
      </w:r>
      <w:r>
        <w:t xml:space="preserve">§III(b)–(d) describes backups, the DR plan, and third-party coordination, but is silent on</w:t>
      </w:r>
      <w:r>
        <w:t xml:space="preserve"> </w:t>
      </w:r>
      <w:r>
        <w:rPr>
          <w:b/>
          <w:bCs/>
        </w:rPr>
        <w:t xml:space="preserve">exercising</w:t>
      </w:r>
      <w:r>
        <w:t xml:space="preserve"> </w:t>
      </w:r>
      <w:r>
        <w:t xml:space="preserve">the plan.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One sentence:</w:t>
      </w:r>
      <w:r>
        <w:t xml:space="preserve"> </w:t>
      </w:r>
      <w:r>
        <w:t xml:space="preserve">“The Chief Security Officer shall coordinate at least an annual tabletop or walk-through exercise of the disaster recovery plan, document the outcome, and feed material findings into the risk management process.”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03d HIPAA - Contingency Planning Policy (1).md</w:t>
      </w:r>
      <w:r>
        <w:t xml:space="preserve"> </w:t>
      </w:r>
      <w:r>
        <w:t xml:space="preserve">— append to §III(d) Other Protective Measures.</w:t>
      </w:r>
    </w:p>
    <w:p>
      <w:r>
        <w:pict>
          <v:rect style="width:0;height:1.5pt" o:hralign="center" o:hrstd="t" o:hr="t"/>
        </w:pict>
      </w:r>
    </w:p>
    <w:bookmarkEnd w:id="14"/>
    <w:bookmarkStart w:id="15" w:name="gap-6-change-management"/>
    <w:p>
      <w:pPr>
        <w:pStyle w:val="Heading2"/>
      </w:pPr>
      <w:r>
        <w:t xml:space="preserve">Gap 6 — Change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G. IT Operations Management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104 (G.2)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named Change Management / Change Control program with owner and review cadence.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SDLC &amp; Asset Lifecycle Policy</w:t>
      </w:r>
      <w:r>
        <w:t xml:space="preserve"> </w:t>
      </w:r>
      <w:r>
        <w:t xml:space="preserve">§III(c) covers pre-deploy validation but never names a change-control program.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“Changes to production systems require peer review and approval through Company’s source-control and deployment pipeline (currently GitHub pull-request review + Aptible deploys). The Chief Security Officer is the owner of this change-control process, which is reviewed at least annually. A record of production changes is retained via Git history and Aptible deploy logs.”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System Development Life Cycle (SDLC) &amp; Asset Lifecycle Policy.md</w:t>
      </w:r>
      <w:r>
        <w:t xml:space="preserve"> </w:t>
      </w:r>
      <w:r>
        <w:t xml:space="preserve">— append to §III(c) Testing &amp; Implementation.</w:t>
      </w:r>
    </w:p>
    <w:p>
      <w:r>
        <w:pict>
          <v:rect style="width:0;height:1.5pt" o:hralign="center" o:hrstd="t" o:hr="t"/>
        </w:pict>
      </w:r>
    </w:p>
    <w:bookmarkEnd w:id="15"/>
    <w:bookmarkStart w:id="16" w:name="X7d3ba3698d0bc3cc20fcd273d1ddf0778409f6c"/>
    <w:p>
      <w:pPr>
        <w:pStyle w:val="Heading2"/>
      </w:pPr>
      <w:r>
        <w:t xml:space="preserve">Gap 7 — C-SCRM Framing (one paragraph closes S.32 + S.57 + S.61 + S.80 + S.100)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S. Supply Chain Risk Management (SCRM)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176 (S.32), 177 (S.57), 178 (S.61), 179 (S.80), 180 (S.100)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document explicitly framed as</w:t>
      </w:r>
      <w:r>
        <w:t xml:space="preserve"> </w:t>
      </w:r>
      <w:r>
        <w:rPr>
          <w:b/>
          <w:bCs/>
        </w:rPr>
        <w:t xml:space="preserve">Cybersecurity Supply Chain Risk Management</w:t>
      </w:r>
      <w:r>
        <w:t xml:space="preserve"> </w:t>
      </w:r>
      <w:r>
        <w:t xml:space="preserve">— strategy, objectives, supplier adoption, contingency planning, named owner, integration with security planning, and system / communications protection across the supply chain.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§11 covers third-party / vendor risk management with BAA flow-down — that’s a substantive answer to S.1 (sub-tier flow-down), but it never uses the</w:t>
      </w:r>
      <w:r>
        <w:t xml:space="preserve"> </w:t>
      </w:r>
      <w:r>
        <w:t xml:space="preserve">“C-SCRM”</w:t>
      </w:r>
      <w:r>
        <w:t xml:space="preserve"> </w:t>
      </w:r>
      <w:r>
        <w:t xml:space="preserve">framing nor names an owner of supply-chain security specifically. Without the C-SCRM framing, an assessor running a SIG checklist will not find S.32 / S.57 / S.61 / S.80 / S.100 even though the underlying controls are largely in place.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A 3-sentence paragraph appended to §11: (1) Millie’s third-party risk management process functions as the Company’s Cybersecurity Supply Chain Risk Management (C-SCRM) program, with the Chief Security Officer (in coordination with the Chief Privacy Officer and Legal) as the named owner. (2) C-SCRM objectives are reviewed annually alongside the security risk assessment, and supplier-related cybersecurity controls — encryption in transit, access management, and incident notification — are required of subcontractors and subprocessors via BAA flow-down. (3) Vendor-furnished or vendor-returned physical media is addressed during vendor onboarding / BAA review; Millie’s cloud-first posture limits supply-chain media exposure to vendor-owned infrastructure.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— append to §11.</w:t>
      </w:r>
    </w:p>
    <w:p>
      <w:r>
        <w:pict>
          <v:rect style="width:0;height:1.5pt" o:hralign="center" o:hrstd="t" o:hr="t"/>
        </w:pict>
      </w:r>
    </w:p>
    <w:bookmarkEnd w:id="16"/>
    <w:bookmarkStart w:id="17" w:name="X4204c03a4493f7e845b5152ec782d67dd36b300"/>
    <w:p>
      <w:pPr>
        <w:pStyle w:val="Heading2"/>
      </w:pPr>
      <w:r>
        <w:t xml:space="preserve">Gap 8 — Proactive Log Review + Patch SLA + Tamper-Resistant Incident Log (J.5 + A06 + J.14)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SIG Lite 2025 / J. Cybersecurity Incident Mgmt + OWASP A06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77 (OWASP A06 — flagged Remediate), 113 (J.5), 115 (J.14)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methodology + cadence for proactive log / event review; assurance the incident log is tamper-resistant; a stated vuln-scanning cadence and patching SLA.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t xml:space="preserve">Reactive incident response is well documented. Proactive review is described as</w:t>
      </w:r>
      <w:r>
        <w:t xml:space="preserve"> </w:t>
      </w:r>
      <w:r>
        <w:t xml:space="preserve">“as needed”</w:t>
      </w:r>
      <w:r>
        <w:t xml:space="preserve"> </w:t>
      </w:r>
      <w:r>
        <w:t xml:space="preserve">(Framework §7), vuln scanning has no cadence or SLA stated anywhere, and the incident log is described as a Log but not as tamper-resistant.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to add (three small edits):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Framework §7</w:t>
      </w:r>
      <w:r>
        <w:t xml:space="preserve"> </w:t>
      </w:r>
      <w:r>
        <w:t xml:space="preserve">— replace</w:t>
      </w:r>
      <w:r>
        <w:t xml:space="preserve"> </w:t>
      </w:r>
      <w:r>
        <w:t xml:space="preserve">“as needed”</w:t>
      </w:r>
      <w:r>
        <w:t xml:space="preserve"> </w:t>
      </w:r>
      <w:r>
        <w:t xml:space="preserve">with:</w:t>
      </w:r>
      <w:r>
        <w:t xml:space="preserve"> </w:t>
      </w:r>
      <w:r>
        <w:t xml:space="preserve">“The Chief Security Officer (or designee) reviews GuardDuty findings, CloudTrail anomalies, and Aptible application audit logs on at least a monthly cadence to identify potential incidents, in addition to event-driven review. Findings are logged and escalated through the Security Incident Management Policy.”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Framework §6</w:t>
      </w:r>
      <w:r>
        <w:t xml:space="preserve"> </w:t>
      </w:r>
      <w:r>
        <w:t xml:space="preserve">— append:</w:t>
      </w:r>
      <w:r>
        <w:t xml:space="preserve"> </w:t>
      </w:r>
      <w:r>
        <w:t xml:space="preserve">“Dependency vulnerabilities are surfaced via GitHub Dependabot and triaged at least weekly; Critical / High findings are remediated within 30 days, Medium within 90 days, subject to the risk-management exception process.”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Security Incident Management §III(c)</w:t>
      </w:r>
      <w:r>
        <w:t xml:space="preserve"> </w:t>
      </w:r>
      <w:r>
        <w:t xml:space="preserve">— append to the Log paragraph:</w:t>
      </w:r>
      <w:r>
        <w:t xml:space="preserve"> </w:t>
      </w:r>
      <w:r>
        <w:t xml:space="preserve">“The incident log is maintained in a restricted-access Company system, edits are auditable, and the log is retained for at least 6 years consistent with HIPAA documentation requirements.”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Millie Information Security &amp; Data Governance Framework (1).md</w:t>
      </w:r>
      <w:r>
        <w:t xml:space="preserve"> </w:t>
      </w:r>
      <w:r>
        <w:t xml:space="preserve">§6 and §7;</w:t>
      </w:r>
      <w:r>
        <w:t xml:space="preserve"> </w:t>
      </w:r>
      <w:r>
        <w:rPr>
          <w:rStyle w:val="VerbatimChar"/>
        </w:rPr>
        <w:t xml:space="preserve">03s HIPAA - Security Incident Management Policy (2).md</w:t>
      </w:r>
      <w:r>
        <w:t xml:space="preserve"> </w:t>
      </w:r>
      <w:r>
        <w:t xml:space="preserve">§III(c).</w:t>
      </w:r>
    </w:p>
    <w:p>
      <w:r>
        <w:pict>
          <v:rect style="width:0;height:1.5pt" o:hralign="center" o:hrstd="t" o:hr="t"/>
        </w:pict>
      </w:r>
    </w:p>
    <w:bookmarkEnd w:id="17"/>
    <w:bookmarkStart w:id="18" w:name="X680466205fb1a8ba5468faa6ce07c343b2bd2c0"/>
    <w:p>
      <w:pPr>
        <w:pStyle w:val="Heading2"/>
      </w:pPr>
      <w:r>
        <w:t xml:space="preserve">Gap 9 — Password Storage + Session / Token Protection (OWASP A02 + A07)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Section:</w:t>
      </w:r>
      <w:r>
        <w:t xml:space="preserve"> </w:t>
      </w:r>
      <w:r>
        <w:t xml:space="preserve">OWASP Top 10 / A02 + A07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CSV rows:</w:t>
      </w:r>
      <w:r>
        <w:t xml:space="preserve"> </w:t>
      </w:r>
      <w:r>
        <w:t xml:space="preserve">73 (A02 — flagged Remediate), 78 (A07 — flagged Remediate)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ECH expects:</w:t>
      </w:r>
      <w:r>
        <w:t xml:space="preserve"> </w:t>
      </w:r>
      <w:r>
        <w:t xml:space="preserve">A stated stance on how user credentials are stored (hashing) and how session tokens are protected.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originals say: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 </w:t>
      </w:r>
      <w:r>
        <w:t xml:space="preserve">covers user password hygiene (length, rotation, lockout) but not server-side credential storage; nothing on session tokens.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to add:</w:t>
      </w:r>
      <w:r>
        <w:t xml:space="preserve"> </w:t>
      </w:r>
      <w:r>
        <w:t xml:space="preserve">Two 1-sentence additions to §III: (1)</w:t>
      </w:r>
      <w:r>
        <w:t xml:space="preserve"> </w:t>
      </w:r>
      <w:r>
        <w:t xml:space="preserve">“User account passwords are stored using an industry-standard one-way hash with per-user salt (bcrypt or equivalent); plaintext passwords are never stored or logged.”</w:t>
      </w:r>
      <w:r>
        <w:t xml:space="preserve"> </w:t>
      </w:r>
      <w:r>
        <w:t xml:space="preserve">(2)</w:t>
      </w:r>
      <w:r>
        <w:t xml:space="preserve"> </w:t>
      </w:r>
      <w:r>
        <w:t xml:space="preserve">“Application sessions are protected by signed, short-lived tokens; failed-login attempts are rate-limited and monitored; and session invalidation occurs on logout, password change, or role revocation.”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Where to add it:</w:t>
      </w:r>
      <w:r>
        <w:t xml:space="preserve"> </w:t>
      </w:r>
      <w:r>
        <w:rPr>
          <w:rStyle w:val="VerbatimChar"/>
        </w:rPr>
        <w:t xml:space="preserve">03o HIPAA - Password Management Policy.md</w:t>
      </w:r>
      <w:r>
        <w:t xml:space="preserve"> </w:t>
      </w:r>
      <w:r>
        <w:t xml:space="preserve">— append to §III.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OW-LEVEL-VER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OW-LEVEL-VER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2026-05-28T14:35:21Z</dcterms:created>
  <dcterms:modified xsi:type="dcterms:W3CDTF">2026-05-28T14:35:21Z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