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-justifications-for-assessor-pushback"/>
    <w:p>
      <w:pPr>
        <w:pStyle w:val="Heading1"/>
      </w:pPr>
      <w:r>
        <w:t xml:space="preserve">N/A Justifications (for assessor pushback)</w:t>
      </w:r>
    </w:p>
    <w:p>
      <w:pPr>
        <w:pStyle w:val="FirstParagraph"/>
      </w:pPr>
      <w:r>
        <w:t xml:space="preserve">One-sentence rebuttals for the N/A rows most likely to draw an assessor follow-up.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PCI DSS (all 10 rows):</w:t>
      </w:r>
      <w:r>
        <w:t xml:space="preserve"> </w:t>
      </w:r>
      <w:r>
        <w:t xml:space="preserve">Millie does not process, store, or transmit cardholder data — payments are outsourced to a third-party processor; we are a SAQ-A-style merchant with no card data in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IT Risk Assessment / Clinical Engineering / IoMT (row 64):</w:t>
      </w:r>
      <w:r>
        <w:t xml:space="preserve"> </w:t>
      </w:r>
      <w:r>
        <w:t xml:space="preserve">Millie operates two outpatient women’s-health clinics using standard laptops, mobile devices, and SaaS — no medical devices connect to the IT network in a way that qualifies as IoMT.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IT Risk Assessment / Telecommunications (row 65):</w:t>
      </w:r>
      <w:r>
        <w:t xml:space="preserve"> </w:t>
      </w:r>
      <w:r>
        <w:t xml:space="preserve">All telephony is delivered via RingCentral SaaS; no on-prem PBX, no special telecom interconnects.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E. Human Resources Security:</w:t>
      </w:r>
      <w:r>
        <w:t xml:space="preserve"> </w:t>
      </w:r>
      <w:r>
        <w:t xml:space="preserve">HR policies (background checks, performance reviews, sanctions) are administered through Gusto and reviewed by Millie’s People Ops function; we do not maintain a separate security-team-owned HR policy at our headcount.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L.3 (Antitrust):</w:t>
      </w:r>
      <w:r>
        <w:t xml:space="preserve"> </w:t>
      </w:r>
      <w:r>
        <w:t xml:space="preserve">A 30-person clinic does not maintain a standalone antitrust program; antitrust matters, if they ever arose, would be handled through outside legal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L.4 / L.6 (Compliance &amp; Ethics / Fraud):</w:t>
      </w:r>
      <w:r>
        <w:t xml:space="preserve"> </w:t>
      </w:r>
      <w:r>
        <w:t xml:space="preserve">Handled through outside legal counsel + HR (Gusto) and the whistleblower channels in the Safeguards Policy; no standalone Code of Conduct or fraud-prevention program at our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O (ESG, all 14 rows):</w:t>
      </w:r>
      <w:r>
        <w:t xml:space="preserve"> </w:t>
      </w:r>
      <w:r>
        <w:t xml:space="preserve">ESG / sustainability / DEI / modern-slavery / ethical-sourcing frameworks are not applicable to a small outpatient clinic and are not formally documented; the assessor can answer</w:t>
      </w:r>
      <w:r>
        <w:t xml:space="preserve"> </w:t>
      </w:r>
      <w:r>
        <w:t xml:space="preserve">“not in scope.”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P.9 (GLBA):</w:t>
      </w:r>
      <w:r>
        <w:t xml:space="preserve"> </w:t>
      </w:r>
      <w:r>
        <w:t xml:space="preserve">Millie is a healthcare provider, not a financial institution; GLBA does not apply.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P.12 (Registration accuracy every 3 months):</w:t>
      </w:r>
      <w:r>
        <w:t xml:space="preserve"> </w:t>
      </w:r>
      <w:r>
        <w:t xml:space="preserve">This terminology aligns with EU regulatory-authority registration; not applicable to a US-only clinic.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R (Artificial Intelligence):</w:t>
      </w:r>
      <w:r>
        <w:t xml:space="preserve"> </w:t>
      </w:r>
      <w:r>
        <w:t xml:space="preserve">Millie uses listed AI vendors (OpenAI, Anthropic, Google Vertex, Heidi, Agno) all covered by BAAs where they touch PHI; AI use is governed by the BAA review process, the Minimum Necessary Rule Policy, and the Use &amp; Disclosure Policy — a standalone AI policy is not warranted at our size.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2026-05-28T14:35:21Z</dcterms:created>
  <dcterms:modified xsi:type="dcterms:W3CDTF">2026-05-28T14:35:21Z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