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pStyle w:val="Compact"/>
        <w:numPr>
          <w:ilvl w:val="0"/>
          <w:numId w:val="1002"/>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p>
    <w:p>
      <w:pPr>
        <w:pStyle w:val="Compact"/>
        <w:numPr>
          <w:ilvl w:val="0"/>
          <w:numId w:val="1002"/>
        </w:numPr>
      </w:pPr>
      <w:r>
        <w:rPr>
          <w:b/>
          <w:bCs/>
        </w:rPr>
        <w:t xml:space="preserve">Procedure</w:t>
      </w:r>
    </w:p>
    <w:p>
      <w:pPr>
        <w:pStyle w:val="Compact"/>
        <w:numPr>
          <w:ilvl w:val="0"/>
          <w:numId w:val="1002"/>
        </w:numPr>
      </w:pPr>
      <w:r>
        <w:rPr>
          <w:i/>
          <w:iCs/>
        </w:rPr>
        <w:t xml:space="preserve">Personnel Safety</w:t>
      </w:r>
      <w:r>
        <w:t xml:space="preserve">.</w:t>
      </w:r>
    </w:p>
    <w:p>
      <w:pPr>
        <w:pStyle w:val="Compact"/>
        <w:numPr>
          <w:ilvl w:val="0"/>
          <w:numId w:val="1002"/>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p>
    <w:p>
      <w:pPr>
        <w:pStyle w:val="Compact"/>
        <w:numPr>
          <w:ilvl w:val="0"/>
          <w:numId w:val="1002"/>
        </w:numPr>
      </w:pPr>
      <w:r>
        <w:rPr>
          <w:i/>
          <w:iCs/>
        </w:rPr>
        <w:t xml:space="preserve">Data and Software Backup</w:t>
      </w:r>
      <w:r>
        <w:t xml:space="preserve">.</w:t>
      </w:r>
    </w:p>
    <w:p>
      <w:pPr>
        <w:pStyle w:val="Compact"/>
        <w:numPr>
          <w:ilvl w:val="0"/>
          <w:numId w:val="1002"/>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pStyle w:val="Compact"/>
        <w:numPr>
          <w:ilvl w:val="0"/>
          <w:numId w:val="1002"/>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pStyle w:val="Compact"/>
        <w:numPr>
          <w:ilvl w:val="0"/>
          <w:numId w:val="1002"/>
        </w:numPr>
      </w:pPr>
      <w:r>
        <w:t xml:space="preserve">Written detailed documentation describing backup procedures shall be maintained at Company’s Facility and at an off-site location at all times and shall be reviewed, and, if necessary updated, at least quarterly.</w:t>
      </w:r>
    </w:p>
    <w:p>
      <w:pPr>
        <w:pStyle w:val="Compact"/>
        <w:numPr>
          <w:ilvl w:val="0"/>
          <w:numId w:val="1002"/>
        </w:numPr>
      </w:pPr>
      <w:r>
        <w:rPr>
          <w:i/>
          <w:iCs/>
        </w:rPr>
        <w:t xml:space="preserve">IT System Inventory</w:t>
      </w:r>
      <w:r>
        <w:t xml:space="preserve">.</w:t>
      </w:r>
    </w:p>
    <w:p>
      <w:pPr>
        <w:pStyle w:val="Compact"/>
        <w:numPr>
          <w:ilvl w:val="0"/>
          <w:numId w:val="1002"/>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p>
    <w:p>
      <w:pPr>
        <w:pStyle w:val="Compact"/>
        <w:numPr>
          <w:ilvl w:val="0"/>
          <w:numId w:val="1002"/>
        </w:numPr>
      </w:pPr>
      <w:r>
        <w:rPr>
          <w:i/>
          <w:iCs/>
        </w:rPr>
        <w:t xml:space="preserve">Other Protective Measures</w:t>
      </w:r>
      <w:r>
        <w:t xml:space="preserve">.</w:t>
      </w:r>
    </w:p>
    <w:p>
      <w:pPr>
        <w:pStyle w:val="Compact"/>
        <w:numPr>
          <w:ilvl w:val="0"/>
          <w:numId w:val="1002"/>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pStyle w:val="Compact"/>
        <w:numPr>
          <w:ilvl w:val="0"/>
          <w:numId w:val="1002"/>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p>
    <w:p>
      <w:pPr>
        <w:pStyle w:val="Compact"/>
        <w:numPr>
          <w:ilvl w:val="0"/>
          <w:numId w:val="1002"/>
        </w:numPr>
      </w:pPr>
      <w:r>
        <w:rPr>
          <w:i/>
          <w:iCs/>
        </w:rPr>
        <w:t xml:space="preserve">Emergency Operations</w:t>
      </w:r>
      <w:r>
        <w:t xml:space="preserve">.</w:t>
      </w:r>
    </w:p>
    <w:p>
      <w:pPr>
        <w:pStyle w:val="Compact"/>
        <w:numPr>
          <w:ilvl w:val="0"/>
          <w:numId w:val="1002"/>
        </w:numPr>
      </w:pPr>
      <w:r>
        <w:t xml:space="preserve">In the event that, as a result of an emergency, all or part of Company’s offices or facilities become unusable, this Policy and such other IT-focused emergency plans the Chief Security Officer adopts shall be initiated.</w:t>
      </w:r>
    </w:p>
    <w:p>
      <w:pPr>
        <w:pStyle w:val="Compact"/>
        <w:numPr>
          <w:ilvl w:val="0"/>
          <w:numId w:val="1002"/>
        </w:numPr>
      </w:pPr>
      <w:r>
        <w:rPr>
          <w:i/>
          <w:iCs/>
        </w:rPr>
        <w:t xml:space="preserve">Confidentiality</w:t>
      </w:r>
      <w:r>
        <w:t xml:space="preserve">.</w:t>
      </w:r>
    </w:p>
    <w:p>
      <w:pPr>
        <w:pStyle w:val="Compact"/>
        <w:numPr>
          <w:ilvl w:val="0"/>
          <w:numId w:val="1002"/>
        </w:numPr>
      </w:pPr>
      <w:r>
        <w:t xml:space="preserve">Personnel shall not disclose to any third parties the terms of this Policy or the elements of any specific plans and procedures that are developed by Company pursuant to this Policy except as necessary to carry out this Policy.</w:t>
      </w:r>
    </w:p>
    <w:p>
      <w:pPr>
        <w:pStyle w:val="Compact"/>
        <w:numPr>
          <w:ilvl w:val="0"/>
          <w:numId w:val="1002"/>
        </w:numPr>
      </w:pPr>
      <w:r>
        <w:rPr>
          <w:i/>
          <w:iCs/>
        </w:rPr>
        <w:t xml:space="preserve">Insurance</w:t>
      </w:r>
      <w:r>
        <w:t xml:space="preserve">.</w:t>
      </w:r>
    </w:p>
    <w:p>
      <w:pPr>
        <w:pStyle w:val="Compact"/>
        <w:numPr>
          <w:ilvl w:val="0"/>
          <w:numId w:val="1002"/>
        </w:numPr>
      </w:pPr>
      <w:r>
        <w:t xml:space="preserve">The Chief Security Officer, together with the General Counsel, shall take steps to obtain the appropriate type and level of insurance coverage to be procured and maintained by Company to cover Company in the event of emergencies.</w:t>
      </w:r>
    </w:p>
    <w:p>
      <w:pPr>
        <w:pStyle w:val="Compact"/>
        <w:numPr>
          <w:ilvl w:val="0"/>
          <w:numId w:val="1002"/>
        </w:numPr>
      </w:pPr>
      <w:r>
        <w:rPr>
          <w:i/>
          <w:iCs/>
        </w:rPr>
        <w:t xml:space="preserve">Pandemic Operations &amp; Multi-Vendor Risk</w:t>
      </w:r>
      <w:r>
        <w:t xml:space="preserve">.</w:t>
      </w:r>
    </w:p>
    <w:p>
      <w:pPr>
        <w:pStyle w:val="Compact"/>
        <w:numPr>
          <w:ilvl w:val="0"/>
          <w:numId w:val="1002"/>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pStyle w:val="Compact"/>
        <w:numPr>
          <w:ilvl w:val="0"/>
          <w:numId w:val="1002"/>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p>
    <w:p>
      <w:pPr>
        <w:pStyle w:val="Compact"/>
        <w:numPr>
          <w:ilvl w:val="0"/>
          <w:numId w:val="1002"/>
        </w:numPr>
      </w:pPr>
      <w:r>
        <w:rPr>
          <w:b/>
          <w:bCs/>
        </w:rPr>
        <w:t xml:space="preserve">References</w:t>
      </w:r>
    </w:p>
    <w:p>
      <w:pPr>
        <w:pStyle w:val="Compact"/>
        <w:numPr>
          <w:ilvl w:val="0"/>
          <w:numId w:val="1003"/>
        </w:numPr>
      </w:pPr>
      <w:r>
        <w:t xml:space="preserve">45 C.F.R. §§ 164.530 &amp; 164.308(a)(7)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2026-05-27T15:47:50Z</dcterms:created>
  <dcterms:modified xsi:type="dcterms:W3CDTF">2026-05-27T15:47:50Z</dcterms:modified>
</cp:coreProperties>
</file>

<file path=docProps/custom.xml><?xml version="1.0" encoding="utf-8"?>
<Properties xmlns="http://schemas.openxmlformats.org/officeDocument/2006/custom-properties" xmlns:vt="http://schemas.openxmlformats.org/officeDocument/2006/docPropsVTypes"/>
</file>