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ech-gap-analysis-section-level-summary"/>
    <w:p>
      <w:pPr>
        <w:pStyle w:val="Heading1"/>
      </w:pPr>
      <w:r>
        <w:t xml:space="preserve">ECH Gap Analysis — Section-Level Summary</w:t>
      </w:r>
    </w:p>
    <w:p>
      <w:pPr>
        <w:pStyle w:val="FirstParagraph"/>
      </w:pPr>
      <w:r>
        <w:t xml:space="preserve">Across 7 questionnaires and 36 sections (covering 182 CSV rows), Millie’s existing originals already cover the bulk of what ECH asks for — but a section-level pass was too coarse and hid real row-level gaps. The numbers below reflect a follow-up row-level verification (see</w:t>
      </w:r>
      <w:r>
        <w:t xml:space="preserve"> </w:t>
      </w:r>
      <w:hyperlink r:id="rId9">
        <w:r>
          <w:rPr>
            <w:rStyle w:val="Hyperlink"/>
          </w:rPr>
          <w:t xml:space="preserve">ROW-LEVEL-VERIFICATION.md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Counts: 11 No Gap, 17 N/A, 8 Gap.</w:t>
      </w:r>
    </w:p>
    <w:p>
      <w:pPr>
        <w:pStyle w:val="BodyText"/>
      </w:pPr>
      <w:r>
        <w:t xml:space="preserve">Recommended action set (3 from the original section pass, 5 from row-level verification — short clauses appended to existing policies, no new files needed):</w:t>
      </w:r>
    </w:p>
    <w:p>
      <w:pPr>
        <w:pStyle w:val="Compact"/>
        <w:numPr>
          <w:ilvl w:val="0"/>
          <w:numId w:val="1001"/>
        </w:numPr>
      </w:pPr>
      <w:r>
        <w:t xml:space="preserve">Email-authentication / DMARC clause → Information Security Framework §6.</w:t>
      </w:r>
    </w:p>
    <w:p>
      <w:pPr>
        <w:pStyle w:val="Compact"/>
        <w:numPr>
          <w:ilvl w:val="0"/>
          <w:numId w:val="1001"/>
        </w:numPr>
      </w:pPr>
      <w:r>
        <w:t xml:space="preserve">BYOD / MDM clause → Workstation Use Policy.</w:t>
      </w:r>
    </w:p>
    <w:p>
      <w:pPr>
        <w:pStyle w:val="Compact"/>
        <w:numPr>
          <w:ilvl w:val="0"/>
          <w:numId w:val="1001"/>
        </w:numPr>
      </w:pPr>
      <w:r>
        <w:t xml:space="preserve">Pandemic-operations + multi-vendor-resiliency clause → Contingency Planning Policy.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 exercise/testing cadence sentence → Contingency Planning Policy §III(d).</w:t>
      </w:r>
      <w:r>
        <w:t xml:space="preserve"> </w:t>
      </w:r>
      <w:r>
        <w:t xml:space="preserve">(K.2)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 Management clause → SDLC &amp; Asset Lifecycle Policy §III(c).</w:t>
      </w:r>
      <w:r>
        <w:t xml:space="preserve"> </w:t>
      </w:r>
      <w:r>
        <w:t xml:space="preserve">(G.2)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C-SCRM framing paragraph → Information Security Framework §11.</w:t>
      </w:r>
      <w:r>
        <w:t xml:space="preserve"> </w:t>
      </w:r>
      <w:r>
        <w:t xml:space="preserve">(S.32 + S.57 + S.61 + S.80 + S.100 — one paragraph closes all five rows)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Proactive log-review cadence + Dependabot triage / patch SLA → Information Security Framework §6 and §7. Tamper-resistant incident log sentence → Security Incident Mgmt Policy §III(c).</w:t>
      </w:r>
      <w:r>
        <w:t xml:space="preserve"> </w:t>
      </w:r>
      <w:r>
        <w:t xml:space="preserve">(J.5 + J.14 + OWASP A06)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Password storage (hashing) + session-token protection sentences → Password Management Policy §III.</w:t>
      </w:r>
      <w:r>
        <w:t xml:space="preserve"> </w:t>
      </w:r>
      <w:r>
        <w:t xml:space="preserve">(OWASP A02 + A07)</w:t>
      </w:r>
    </w:p>
    <w:p>
      <w:pPr>
        <w:pStyle w:val="FirstParagraph"/>
      </w:pPr>
      <w:r>
        <w:t xml:space="preserve">Plus the evidence task (not a policy edit): attach cyber-liability certificate and pentest / audit attestation.</w:t>
      </w:r>
    </w:p>
    <w:p>
      <w:pPr>
        <w:pStyle w:val="BodyText"/>
      </w:pPr>
      <w:r>
        <w:t xml:space="preserve">Everything else is either already covered by an existing original or is honestly answered</w:t>
      </w:r>
      <w:r>
        <w:t xml:space="preserve"> </w:t>
      </w:r>
      <w:r>
        <w:t xml:space="preserve">“N/A — not in scope for our business.”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Questionnaire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Rationale (≤2 sentences)</w:t>
            </w:r>
          </w:p>
        </w:tc>
        <w:tc>
          <w:tcPr/>
          <w:p>
            <w:pPr>
              <w:pStyle w:val="Compac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Questionnaire</w:t>
            </w:r>
          </w:p>
        </w:tc>
        <w:tc>
          <w:tcPr/>
          <w:p>
            <w:pPr>
              <w:pStyle w:val="Compact"/>
            </w:pPr>
            <w:r>
              <w:t xml:space="preserve">AWS Account Management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Operational answers already in CSV; AWS/Aptible Incident Mgmt Policy + Info Sec Framework cover the policy posture (single-account, root MFA, etc.).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Questionnaire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Encryption Policy + Info Sec Framework §5 cover at-rest/in-transit; Aptible-managed encryption referenced.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Questionnaire</w:t>
            </w:r>
          </w:p>
        </w:tc>
        <w:tc>
          <w:tcPr/>
          <w:p>
            <w:pPr>
              <w:pStyle w:val="Compact"/>
            </w:pPr>
            <w:r>
              <w:t xml:space="preserve">Identity and Access Management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Password Mgmt + Safeguards §III(b) Access Controls + Info Sec §4 cover RBAC / least-privilege / MFA; specific AWS deviations honestly answered in CSV.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Questionnaire</w:t>
            </w:r>
          </w:p>
        </w:tc>
        <w:tc>
          <w:tcPr/>
          <w:p>
            <w:pPr>
              <w:pStyle w:val="Compact"/>
            </w:pPr>
            <w:r>
              <w:t xml:space="preserve">Network Security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AWS/Aptible Incident Mgmt Policy + CSV operational answers cover security groups, private subnets, S3 public-access posture.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Questionnaire</w:t>
            </w:r>
          </w:p>
        </w:tc>
        <w:tc>
          <w:tcPr/>
          <w:p>
            <w:pPr>
              <w:pStyle w:val="Compact"/>
            </w:pPr>
            <w:r>
              <w:t xml:space="preserve">Detection and Monitoring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Info Sec Framework §7 (Logging/Monitoring) + AWS/Aptible Incident Mgmt §III.2 cover CloudTrail / GuardDuty.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Questionnaire</w:t>
            </w:r>
          </w:p>
        </w:tc>
        <w:tc>
          <w:tcPr/>
          <w:p>
            <w:pPr>
              <w:pStyle w:val="Compact"/>
            </w:pPr>
            <w:r>
              <w:t xml:space="preserve">Processes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SDLC Policy + AWS/Aptible Incident Mgmt Policy cover IaC, IR plan, backups; remaining items (dedicated backup account, custom AMIs) are operational answers, not policy gaps.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Request Details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Project-intake form fields, not policy questions.</w:t>
            </w:r>
          </w:p>
        </w:tc>
        <w:tc>
          <w:tcPr/>
          <w:p>
            <w:pPr>
              <w:pStyle w:val="Compact"/>
            </w:pPr>
            <w:r>
              <w:t xml:space="preserve">Answer in-form at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Server &amp; Storage Requirements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Project-intake field.</w:t>
            </w:r>
          </w:p>
        </w:tc>
        <w:tc>
          <w:tcPr/>
          <w:p>
            <w:pPr>
              <w:pStyle w:val="Compact"/>
            </w:pPr>
            <w:r>
              <w:t xml:space="preserve">Answer in-form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Network Requirements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Cloud-native — no new ports / WAN / site-VPN.</w:t>
            </w:r>
          </w:p>
        </w:tc>
        <w:tc>
          <w:tcPr/>
          <w:p>
            <w:pPr>
              <w:pStyle w:val="Compact"/>
            </w:pPr>
            <w:r>
              <w:t xml:space="preserve">Answer in-form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Identity &amp; Access Management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Password Mgmt + Remote Access + Safeguards cover MFA, auth, vendor remote access.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Additional Cybersecurity Questions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DMARC / email-authentication (row 55) and AV-exclusion / vuln-scan-exclusion stance (rows 50–52) not in any original.</w:t>
            </w:r>
          </w:p>
        </w:tc>
        <w:tc>
          <w:tcPr/>
          <w:p>
            <w:pPr>
              <w:pStyle w:val="Compact"/>
            </w:pPr>
            <w:r>
              <w:t xml:space="preserve">Add 1-paragraph</w:t>
            </w:r>
            <w:r>
              <w:t xml:space="preserve"> </w:t>
            </w:r>
            <w:r>
              <w:t xml:space="preserve">“Email Authentication &amp; Anti-Malware Exclusions”</w:t>
            </w:r>
            <w:r>
              <w:t xml:space="preserve"> </w:t>
            </w:r>
            <w:r>
              <w:t xml:space="preserve">clause to the Info Sec &amp; Data Governance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Integration Requirements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SDLC Policy covers API / interface change considerations.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End-user Compute Requirements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Workstation Use Policy + Remote Access Policy cover EUC posture.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Clinical Engineering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 Internet of Medical Things (IoMT) — clinic uses standard endpoints + cloud services.</w:t>
            </w:r>
          </w:p>
        </w:tc>
        <w:tc>
          <w:tcPr/>
          <w:p>
            <w:pPr>
              <w:pStyle w:val="Compact"/>
            </w:pPr>
            <w:r>
              <w:t xml:space="preserve">Answer N/A in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Telecommunications Requirements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Standard SaaS telephony (RingCentral); no special telecom requirements.</w:t>
            </w:r>
          </w:p>
        </w:tc>
        <w:tc>
          <w:tcPr/>
          <w:p>
            <w:pPr>
              <w:pStyle w:val="Compact"/>
            </w:pPr>
            <w:r>
              <w:t xml:space="preserve">Answer N/A in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Timeline / Vendor Support / Other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Project-intake fields.</w:t>
            </w:r>
          </w:p>
        </w:tc>
        <w:tc>
          <w:tcPr/>
          <w:p>
            <w:pPr>
              <w:pStyle w:val="Compact"/>
            </w:pPr>
            <w:r>
              <w:t xml:space="preserve">Answer in-form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Top 10</w:t>
            </w:r>
          </w:p>
        </w:tc>
        <w:tc>
          <w:tcPr/>
          <w:p>
            <w:pPr>
              <w:pStyle w:val="Compact"/>
            </w:pPr>
            <w:r>
              <w:t xml:space="preserve">A01–A10 (all 10 items)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A01 / A03 / A04 / A05 / A08 / A09 / A10 covered by Safeguards / Encryption / SDLC / AWS-Aptible IR. A02 (password storage / hashing), A06 (vuln-scan cadence + patch SLA), A07 (session-token protection) need explicit clauses. CSV flagged all three as FOLLOW UP / Remediate.</w:t>
            </w:r>
          </w:p>
        </w:tc>
        <w:tc>
          <w:tcPr/>
          <w:p>
            <w:pPr>
              <w:pStyle w:val="Compact"/>
            </w:pPr>
            <w:r>
              <w:t xml:space="preserve">A02 + A07 → 1-sentence each to Password Mgmt §III. A06 → Dependabot + patch-SLA sentence to Framework §6.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 DSS Assessment Form</w:t>
            </w:r>
          </w:p>
        </w:tc>
        <w:tc>
          <w:tcPr/>
          <w:p>
            <w:pPr>
              <w:pStyle w:val="Compact"/>
            </w:pPr>
            <w:r>
              <w:t xml:space="preserve">General (all 10)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Millie does not process, store, or transmit cardholder data — payments outsourced.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  <w:r>
              <w:t xml:space="preserve"> </w:t>
            </w:r>
            <w:r>
              <w:t xml:space="preserve">“N/A — payments outsourced; no cardholder data in scope”</w:t>
            </w:r>
            <w:r>
              <w:t xml:space="preserve"> </w:t>
            </w:r>
            <w:r>
              <w:t xml:space="preserve">in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A. Enterprise Risk Management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Risk Mgmt Policy + Info Sec Framework §2 cover ERM framing.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B. Nth Party Management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BAA Policy + Info Sec Framework (1).md §11 (Nth-party flow-down clause) cover it.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C. Information Assurance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Info Sec Framework + Risk Mgmt Policy answer C.1 and C.4.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D. Asset and Info Management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SDLC / Asset Lifecycle Policy, Workstation Use, and Info Sec §9 (Retention) cover D.1 / D.2 / D.3; the Platform Matrix is the IT asset inventory.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E. Human Resources Security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HR policies owned by HR / Gusto; not a security-policy gap.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  <w:r>
              <w:t xml:space="preserve"> </w:t>
            </w:r>
            <w:r>
              <w:t xml:space="preserve">“HR policies maintained in Gusto / People Ops”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F. Physical and Environmental Security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Safeguards Policy §III(c) Facility Security Plan + Paper Document Mgmt cover physical security.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G. IT Operations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G.1 / G.3 covered by SDLC + Info Sec Framework, but G.2 (named Change Management program with owner / cadence) is not discretely stated anywhere.</w:t>
            </w:r>
          </w:p>
        </w:tc>
        <w:tc>
          <w:tcPr/>
          <w:p>
            <w:pPr>
              <w:pStyle w:val="Compact"/>
            </w:pPr>
            <w:r>
              <w:t xml:space="preserve">Add 1-paragraph Change Management clause to SDLC §III(c).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H. Access Control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Password Mgmt Policy + Safeguards §III(b) cover both H.1 and H.2.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I. Application Management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Affirmative-fact questions; SDLC Policy covers the underlying program.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J. Cybersecurity Incident Mgmt.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Reactive incident response is well-covered, but J.5 (proactive log-review methodology / cadence) and J.14 (tamper-resistant incident log) are not stated.</w:t>
            </w:r>
          </w:p>
        </w:tc>
        <w:tc>
          <w:tcPr/>
          <w:p>
            <w:pPr>
              <w:pStyle w:val="Compact"/>
            </w:pPr>
            <w:r>
              <w:t xml:space="preserve">Add proactive log-review cadence to Framework §7; add tamper-resistant log sentence to Security Incident Mgmt §III(c).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K. Operational Resilience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K.4 (pandemic), K.30 (multi-vendor resiliency), and K.2 (DR exercise / testing cadence) all not addressed in originals.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  <w:r>
              <w:t xml:space="preserve"> </w:t>
            </w:r>
            <w:r>
              <w:t xml:space="preserve">“Pandemic Operations &amp; Multi-Vendor Risk Acceptance”</w:t>
            </w:r>
            <w:r>
              <w:t xml:space="preserve"> </w:t>
            </w:r>
            <w:r>
              <w:t xml:space="preserve">clause to Contingency Planning Policy. (2) DR-exercise-cadence sentence to Contingency Planning §III(d).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L. Compliance Management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L.3 (antitrust), L.4 (compliance &amp; ethics program), L.6 (fraud) not required for a 30-person clinic; handled via legal counsel + Gusto.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  <w:r>
              <w:t xml:space="preserve"> </w:t>
            </w:r>
            <w:r>
              <w:t xml:space="preserve">“handled via outside legal counsel and HR processes; no standalone program”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M. Endpoint Security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M.1.3 (MDM), M.1.5 (non-company devices), M.1.6 (BYOD) flagged</w:t>
            </w:r>
            <w:r>
              <w:t xml:space="preserve"> </w:t>
            </w:r>
            <w:r>
              <w:t xml:space="preserve">“FOLLOW UP”</w:t>
            </w:r>
            <w:r>
              <w:t xml:space="preserve"> </w:t>
            </w:r>
            <w:r>
              <w:t xml:space="preserve">in CSV. Workstation Use mentions personal devices but no BYOD / MDM stance is documented.</w:t>
            </w:r>
          </w:p>
        </w:tc>
        <w:tc>
          <w:tcPr/>
          <w:p>
            <w:pPr>
              <w:pStyle w:val="Compact"/>
            </w:pPr>
            <w:r>
              <w:t xml:space="preserve">Add 1-paragraph</w:t>
            </w:r>
            <w:r>
              <w:t xml:space="preserve"> </w:t>
            </w:r>
            <w:r>
              <w:t xml:space="preserve">“BYOD &amp; Mobile Device Management”</w:t>
            </w:r>
            <w:r>
              <w:t xml:space="preserve"> </w:t>
            </w:r>
            <w:r>
              <w:t xml:space="preserve">clause to the Workstation Use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N. Network Security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AWS/Aptible Incident Mgmt + Info Sec Framework + Encryption Policy cover N.1–N.12; no on-prem network exists.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O. Environmental, Social and Governance (ESG)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12 of 14 ESG rows not in scope for a 30-person women’s-health clinic. O.4 (hazardous-substance handling) and O.9 (Health &amp; Safety policy) are now Partial — the Medical Waste Management Plan documents biohazardous-waste handling and codifies a workplace-health-and-safety commitment for clinical operations.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  <w:r>
              <w:t xml:space="preserve"> </w:t>
            </w:r>
            <w:r>
              <w:t xml:space="preserve">“not formally documented — not applicable to Millie’s scope”</w:t>
            </w:r>
            <w:r>
              <w:t xml:space="preserve"> </w:t>
            </w:r>
            <w:r>
              <w:t xml:space="preserve">for the other 12; cite Medical Waste Management Plan for O.4 and O.9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P. Privacy Management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HIPAA suite (Privacy Policy, Use &amp; Disclosure, Accounting, Right to Access / Amend, Min Necessary, De-ID, BAA) + Info Sec Framework cover P.2 / P.3 / P.4 / P.5 / P.8 / P.10 / P.11. P.9 GLBA + P.12 EU-registration are N/A.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R. Artificial Intelligence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AI use limited to listed AI platforms in Platform Matrix (BAA-covered); no AI-system policy required at Millie’s size.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  <w:r>
              <w:t xml:space="preserve"> </w:t>
            </w:r>
            <w:r>
              <w:t xml:space="preserve">“AI vendors reviewed under BAA process; no separate AI policy”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S. Supply Chain Risk Management (SCRM)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S.1 (sub-tier flow-down) is covered by Framework §11, but S.32 / S.57 / S.61 / S.80 / S.100 ask specifically for</w:t>
            </w:r>
            <w:r>
              <w:t xml:space="preserve"> </w:t>
            </w:r>
            <w:r>
              <w:rPr>
                <w:b/>
                <w:bCs/>
              </w:rPr>
              <w:t xml:space="preserve">Cybersecurity Supply Chain Risk Management (C-SCRM)</w:t>
            </w:r>
            <w:r>
              <w:t xml:space="preserve"> </w:t>
            </w:r>
            <w:r>
              <w:t xml:space="preserve">framing with named owner — Millie’s</w:t>
            </w:r>
            <w:r>
              <w:t xml:space="preserve"> </w:t>
            </w:r>
            <w:r>
              <w:t xml:space="preserve">“third-party risk management”</w:t>
            </w:r>
            <w:r>
              <w:t xml:space="preserve"> </w:t>
            </w:r>
            <w:r>
              <w:t xml:space="preserve">answers a different question.</w:t>
            </w:r>
          </w:p>
        </w:tc>
        <w:tc>
          <w:tcPr/>
          <w:p>
            <w:pPr>
              <w:pStyle w:val="Compact"/>
            </w:pPr>
            <w:r>
              <w:t xml:space="preserve">Add 1-paragraph C-SCRM framing to Framework §11 (closes all 5 rows in one addition).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Insurances</w:t>
            </w:r>
          </w:p>
        </w:tc>
        <w:tc>
          <w:tcPr/>
          <w:p>
            <w:pPr>
              <w:pStyle w:val="Compact"/>
            </w:pPr>
            <w:r>
              <w:t xml:space="preserve">Cyber Liability / Data Privacy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Evidence question, not policy. We need to attach the actual cyber-liability certificate to the submission.</w:t>
            </w:r>
          </w:p>
        </w:tc>
        <w:tc>
          <w:tcPr/>
          <w:p>
            <w:pPr>
              <w:pStyle w:val="Compact"/>
            </w:pPr>
            <w:r>
              <w:t xml:space="preserve">Attach cyber-liability certificate to ECH submission (no policy change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Audits</w:t>
            </w:r>
          </w:p>
        </w:tc>
        <w:tc>
          <w:tcPr/>
          <w:p>
            <w:pPr>
              <w:pStyle w:val="Compact"/>
            </w:pPr>
            <w:r>
              <w:t xml:space="preserve">Penetration Testing + General Security Audit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Evidence questions. Millie has no recent third-party pentest or SOC 2 / HITRUST attestation.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  <w:r>
              <w:t xml:space="preserve"> </w:t>
            </w:r>
            <w:r>
              <w:t xml:space="preserve">“none on file”</w:t>
            </w:r>
            <w:r>
              <w:t xml:space="preserve"> </w:t>
            </w:r>
            <w:r>
              <w:t xml:space="preserve">or commission a pentest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ROW-LEVEL-VERIFIC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ROW-LEVEL-VERIFIC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2026-05-28T16:56:08Z</dcterms:created>
  <dcterms:modified xsi:type="dcterms:W3CDTF">2026-05-28T16:56:08Z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