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f931e1aa0d797071872b54561b70908a2df288"/>
    <w:p>
      <w:pPr>
        <w:pStyle w:val="Heading1"/>
      </w:pPr>
      <w:r>
        <w:t xml:space="preserve">Supporting Docs You Need to Create or Maintain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evidence checklist</w:t>
      </w:r>
      <w:r>
        <w:t xml:space="preserve">. The policies in</w:t>
      </w:r>
      <w:r>
        <w:t xml:space="preserve"> </w:t>
      </w:r>
      <w:r>
        <w:rPr>
          <w:rStyle w:val="VerbatimChar"/>
        </w:rPr>
        <w:t xml:space="preserve">Current Policies (… Generated)/</w:t>
      </w:r>
      <w:r>
        <w:t xml:space="preserve"> </w:t>
      </w:r>
      <w:r>
        <w:t xml:space="preserve">describe what Millie</w:t>
      </w:r>
      <w:r>
        <w:t xml:space="preserve"> </w:t>
      </w:r>
      <w:r>
        <w:rPr>
          <w:i/>
          <w:iCs/>
        </w:rPr>
        <w:t xml:space="preserve">does</w:t>
      </w:r>
      <w:r>
        <w:t xml:space="preserve">; this document tracks the actual records, logs, attestations, and reports the policies require you to keep on file.</w:t>
      </w:r>
    </w:p>
    <w:p>
      <w:pPr>
        <w:pStyle w:val="BodyText"/>
      </w:pPr>
      <w:r>
        <w:rPr>
          <w:b/>
          <w:bCs/>
        </w:rPr>
        <w:t xml:space="preserve">You manage policy-review cadence yourself</w:t>
      </w:r>
      <w:r>
        <w:t xml:space="preserve"> </w:t>
      </w:r>
      <w:r>
        <w:t xml:space="preserve">— nothing in here says</w:t>
      </w:r>
      <w:r>
        <w:t xml:space="preserve"> </w:t>
      </w:r>
      <w:r>
        <w:t xml:space="preserve">“review your Risk Management Policy yearly.”</w:t>
      </w:r>
      <w:r>
        <w:t xml:space="preserve"> </w:t>
      </w:r>
      <w:r>
        <w:t xml:space="preserve">Everything here is a</w:t>
      </w:r>
      <w:r>
        <w:t xml:space="preserve"> </w:t>
      </w:r>
      <w:r>
        <w:rPr>
          <w:b/>
          <w:bCs/>
        </w:rPr>
        <w:t xml:space="preserve">document or record you need to produce or refresh</w:t>
      </w:r>
      <w:r>
        <w:t xml:space="preserve">, driven by a specific clause in a specific policy.</w:t>
      </w:r>
    </w:p>
    <w:p>
      <w:pPr>
        <w:pStyle w:val="BodyText"/>
      </w:pPr>
      <w:r>
        <w:rPr>
          <w:b/>
          <w:bCs/>
        </w:rPr>
        <w:t xml:space="preserve">Sources cross-referenced: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Current Policies (05-28-2026 Generated)/3.a Final Markdown/</w:t>
      </w:r>
      <w:r>
        <w:t xml:space="preserve"> </w:t>
      </w:r>
      <w:r>
        <w:t xml:space="preserve">— every active policy.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Supporting Sources/</w:t>
      </w:r>
      <w:r>
        <w:t xml:space="preserve"> </w:t>
      </w:r>
      <w:r>
        <w:t xml:space="preserve">— three evidence files already on file (annual risk letter, May 2026 DR review, platform matrix).</w:t>
      </w:r>
    </w:p>
    <w:p>
      <w:pPr>
        <w:pStyle w:val="Compact"/>
        <w:numPr>
          <w:ilvl w:val="0"/>
          <w:numId w:val="1001"/>
        </w:numPr>
      </w:pPr>
      <w:r>
        <w:t xml:space="preserve">ECH coverage matrix + UCSF coverage matrix in this folder — flagged the document-evidence gaps.</w:t>
      </w:r>
    </w:p>
    <w:p>
      <w:r>
        <w:pict>
          <v:rect style="width:0;height:1.5pt" o:hralign="center" o:hrstd="t" o:hr="t"/>
        </w:pict>
      </w:r>
    </w:p>
    <w:bookmarkEnd w:id="9"/>
    <w:bookmarkStart w:id="10" w:name="X8d0abdce1a31514e169dd190a4bf60d4c5ab57c"/>
    <w:p>
      <w:pPr>
        <w:pStyle w:val="Heading2"/>
      </w:pPr>
      <w:r>
        <w:t xml:space="preserve">✅ What you already have on file (</w:t>
      </w:r>
      <w:r>
        <w:rPr>
          <w:rStyle w:val="VerbatimChar"/>
        </w:rPr>
        <w:t xml:space="preserve">Supporting Sources/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 requirement from</w:t>
            </w:r>
          </w:p>
        </w:tc>
        <w:tc>
          <w:tcPr/>
          <w:p>
            <w:pPr>
              <w:pStyle w:val="Compact"/>
            </w:pPr>
            <w:r>
              <w:t xml:space="preserve">Next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of Annual Risk Letter _ Mitigations from 03q HIPAA - Risk Management Policy.docx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01c. Risk Management Policy</w:t>
            </w:r>
            <w:r>
              <w:t xml:space="preserve"> </w:t>
            </w:r>
            <w:r>
              <w:t xml:space="preserve">(annual risk assessment)</w:t>
            </w:r>
          </w:p>
        </w:tc>
        <w:tc>
          <w:tcPr/>
          <w:p>
            <w:pPr>
              <w:pStyle w:val="Compact"/>
            </w:pPr>
            <w:r>
              <w:t xml:space="preserve">Annually — refresh before the date drifts past 12 months from the letter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Disaster Recovery Review - May 2026.xlsx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</w:t>
            </w:r>
            <w:r>
              <w:t xml:space="preserve"> </w:t>
            </w:r>
            <w:r>
              <w:t xml:space="preserve">(annual DR exercise + quarterly backup review)</w:t>
            </w:r>
          </w:p>
        </w:tc>
        <w:tc>
          <w:tcPr/>
          <w:p>
            <w:pPr>
              <w:pStyle w:val="Compact"/>
            </w:pPr>
            <w:r>
              <w:t xml:space="preserve">Annually for full DR exercise; quarterly for the backup-procedure review portion.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Matrix of Platforms, Software Subscriptions, and Access (1).xlsx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06a. Business Associate Agreement Policy</w:t>
            </w:r>
            <w:r>
              <w:t xml:space="preserve"> </w:t>
            </w:r>
            <w:r>
              <w:t xml:space="preserve">(vendor inventory + BAA status) and</w:t>
            </w:r>
            <w:r>
              <w:t xml:space="preserve"> </w:t>
            </w:r>
            <w:r>
              <w:rPr>
                <w:rStyle w:val="VerbatimChar"/>
              </w:rPr>
              <w:t xml:space="preserve">01a. Information Security Framework</w:t>
            </w:r>
            <w:r>
              <w:t xml:space="preserve"> </w:t>
            </w:r>
            <w:r>
              <w:t xml:space="preserve">(access matrix)</w:t>
            </w:r>
          </w:p>
        </w:tc>
        <w:tc>
          <w:tcPr/>
          <w:p>
            <w:pPr>
              <w:pStyle w:val="Compact"/>
            </w:pPr>
            <w:r>
              <w:t xml:space="preserve">Quarterly user-access review; annual full refresh.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be205c9ce6e5735f30b854ec60d64d5e870693"/>
    <w:p>
      <w:pPr>
        <w:pStyle w:val="Heading2"/>
      </w:pPr>
      <w:r>
        <w:t xml:space="preserve">🔴 Missing — high priority (assessor / auditor will flag)</w:t>
      </w:r>
    </w:p>
    <w:p>
      <w:pPr>
        <w:pStyle w:val="FirstParagraph"/>
      </w:pPr>
      <w:r>
        <w:t xml:space="preserve">These are documents an ECH or UCSF assessor will almost certainly ask for. Create as soon as bandwidth allows.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 to create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What it should contain</w:t>
            </w:r>
          </w:p>
        </w:tc>
        <w:tc>
          <w:tcPr/>
          <w:p>
            <w:pPr>
              <w:pStyle w:val="Compact"/>
            </w:pPr>
            <w:r>
              <w:t xml:space="preserve">Why it’s high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Workforce training completion roster</w:t>
            </w:r>
            <w:r>
              <w:t xml:space="preserve"> </w:t>
            </w:r>
            <w:r>
              <w:t xml:space="preserve">(annual)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01d. Safeguards Policy</w:t>
            </w:r>
            <w:r>
              <w:t xml:space="preserve"> </w:t>
            </w:r>
            <w:r>
              <w:t xml:space="preserve">§IV</w:t>
            </w:r>
            <w:r>
              <w:t xml:space="preserve"> </w:t>
            </w:r>
            <w:r>
              <w:t xml:space="preserve">“Training &amp; Awareness”</w:t>
            </w:r>
            <w:r>
              <w:t xml:space="preserve">; UCSF Q16</w:t>
            </w:r>
          </w:p>
        </w:tc>
        <w:tc>
          <w:tcPr/>
          <w:p>
            <w:pPr>
              <w:pStyle w:val="Compact"/>
            </w:pPr>
            <w:r>
              <w:t xml:space="preserve">Per-person record of: training assigned date, completion date, acknowledgement signature, score on knowledge check (if any), refresh date. Export from whatever LMS / Google Form / Gusto-module you use.</w:t>
            </w:r>
          </w:p>
        </w:tc>
        <w:tc>
          <w:tcPr/>
          <w:p>
            <w:pPr>
              <w:pStyle w:val="Compact"/>
            </w:pPr>
            <w:r>
              <w:t xml:space="preserve">Both ECH and UCSF explicitly ask for evidence that training completion is tracked and measured.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Tamper-evident incident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05a. Incident &amp; Breach Response</w:t>
            </w:r>
            <w:r>
              <w:t xml:space="preserve"> </w:t>
            </w:r>
            <w:r>
              <w:t xml:space="preserve">§III(c) (J.14 from ECH); UCSF Q33/Q37</w:t>
            </w:r>
          </w:p>
        </w:tc>
        <w:tc>
          <w:tcPr/>
          <w:p>
            <w:pPr>
              <w:pStyle w:val="Compact"/>
            </w:pPr>
            <w:r>
              <w:t xml:space="preserve">Restricted-access log of every security incident: date, reporter, classification (event vs incident vs breach), investigation steps, owners, root cause, remediation, closure date. Stored in a write-once or version-controlled system (e.g., locked Google Sheet with audit history, or a ticketing system). Retain ≥6 years.</w:t>
            </w:r>
          </w:p>
        </w:tc>
        <w:tc>
          <w:tcPr/>
          <w:p>
            <w:pPr>
              <w:pStyle w:val="Compact"/>
            </w:pPr>
            <w:r>
              <w:t xml:space="preserve">ECH SIG J.14 and HIPAA documentation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privacy &amp; security report to the CEO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05a. Incident &amp; Breach Response</w:t>
            </w:r>
            <w:r>
              <w:t xml:space="preserve"> </w:t>
            </w:r>
            <w:r>
              <w:t xml:space="preserve">§I</w:t>
            </w:r>
            <w:r>
              <w:t xml:space="preserve"> </w:t>
            </w:r>
            <w:r>
              <w:t xml:space="preserve">“Annual Report”</w:t>
            </w:r>
          </w:p>
        </w:tc>
        <w:tc>
          <w:tcPr/>
          <w:p>
            <w:pPr>
              <w:pStyle w:val="Compact"/>
            </w:pPr>
            <w:r>
              <w:t xml:space="preserve">Once per year, the Chief Security Officer + Chief Privacy Officer compile: incidents this year, breach assessments, training completion %, risk-assessment results, open remediation items, and recommendations. Delivered in writing to the CEO.</w:t>
            </w:r>
          </w:p>
        </w:tc>
        <w:tc>
          <w:tcPr/>
          <w:p>
            <w:pPr>
              <w:pStyle w:val="Compact"/>
            </w:pPr>
            <w:r>
              <w:t xml:space="preserve">Internal accountability requirement that auditors look for to confirm board/exec engagement.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Systems &amp; Recovery Priority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</w:t>
            </w:r>
            <w:r>
              <w:t xml:space="preserve"> </w:t>
            </w:r>
            <w:r>
              <w:t xml:space="preserve">“IT System Inventory”</w:t>
            </w:r>
            <w:r>
              <w:t xml:space="preserve"> </w:t>
            </w:r>
            <w:r>
              <w:t xml:space="preserve">+ UCSF Q3</w:t>
            </w:r>
          </w:p>
        </w:tc>
        <w:tc>
          <w:tcPr/>
          <w:p>
            <w:pPr>
              <w:pStyle w:val="Compact"/>
            </w:pPr>
            <w:r>
              <w:t xml:space="preserve">Table: every critical system × data sensitivity × business criticality × owner × RTO / RPO × dependency chain × restart order. User-stated software priority is: backend → mobile app → admin/frontend. Hardware/devices side: Tenisi.</w:t>
            </w:r>
          </w:p>
        </w:tc>
        <w:tc>
          <w:tcPr/>
          <w:p>
            <w:pPr>
              <w:pStyle w:val="Compact"/>
            </w:pPr>
            <w:r>
              <w:t xml:space="preserve">UCSF explicitly asks; ECH expects via SIG K.2/K.5.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register / threat register</w:t>
            </w:r>
            <w:r>
              <w:t xml:space="preserve"> </w:t>
            </w:r>
            <w:r>
              <w:t xml:space="preserve">(refresh annually with the risk letter)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01c. Risk Management Policy</w:t>
            </w:r>
            <w:r>
              <w:t xml:space="preserve"> </w:t>
            </w:r>
            <w:r>
              <w:t xml:space="preserve">§III; UCSF Q9</w:t>
            </w:r>
          </w:p>
        </w:tc>
        <w:tc>
          <w:tcPr/>
          <w:p>
            <w:pPr>
              <w:pStyle w:val="Compact"/>
            </w:pPr>
            <w:r>
              <w:t xml:space="preserve">Per-threat row: threat (internal/external, by category), vulnerability, controls in place, likelihood, impact, residual risk, owner, status, due date. Can be a tab in the Annual Risk Letter workbook.</w:t>
            </w:r>
          </w:p>
        </w:tc>
        <w:tc>
          <w:tcPr/>
          <w:p>
            <w:pPr>
              <w:pStyle w:val="Compact"/>
            </w:pPr>
            <w:r>
              <w:t xml:space="preserve">UCSF Q9 specifically requires this. The Annual Risk Letter covers the assessment narrative; a threat-register tab makes the threats explicit.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BYOD enrollment register + signed acceptance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03a. Technical Safeguards</w:t>
            </w:r>
            <w:r>
              <w:t xml:space="preserve"> </w:t>
            </w:r>
            <w:r>
              <w:t xml:space="preserve">§IV (Workstation Use — BYOD addition); ECH SIG M.1.3/M.1.5/M.1.6</w:t>
            </w:r>
          </w:p>
        </w:tc>
        <w:tc>
          <w:tcPr/>
          <w:p>
            <w:pPr>
              <w:pStyle w:val="Compact"/>
            </w:pPr>
            <w:r>
              <w:t xml:space="preserve">One row per personal device touching PHI: user, device make/model/OS, IMEI/serial, MDM enrollment date, signature on the BYOD acceptance form. Lives wherever MDM dashboard exports go.</w:t>
            </w:r>
          </w:p>
        </w:tc>
        <w:tc>
          <w:tcPr/>
          <w:p>
            <w:pPr>
              <w:pStyle w:val="Compact"/>
            </w:pPr>
            <w:r>
              <w:t xml:space="preserve">ECH flagged this with</w:t>
            </w:r>
            <w:r>
              <w:t xml:space="preserve"> </w:t>
            </w:r>
            <w:r>
              <w:rPr>
                <w:rStyle w:val="VerbatimChar"/>
              </w:rPr>
              <w:t xml:space="preserve">Remediate=Yes</w:t>
            </w:r>
            <w:r>
              <w:t xml:space="preserve">. Three rows of the ECH matrix close when this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Risk Management Program SOP + vendor security questionnaire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06a. Business Associate Agreement Policy</w:t>
            </w:r>
            <w:r>
              <w:t xml:space="preserve">; UCSF Q17</w:t>
            </w:r>
          </w:p>
        </w:tc>
        <w:tc>
          <w:tcPr/>
          <w:p>
            <w:pPr>
              <w:pStyle w:val="Compact"/>
            </w:pPr>
            <w:r>
              <w:t xml:space="preserve">Document: how new vendors are screened (security questionnaire — can be a short version of the ECH questionnaire pointed at vendors), risk-tiering criteria, BAA review workflow, periodic reassessment cadence. Plus an evidence folder per vendor (BAA, security questionnaire response, SOC2/HITRUST report if any).</w:t>
            </w:r>
          </w:p>
        </w:tc>
        <w:tc>
          <w:tcPr/>
          <w:p>
            <w:pPr>
              <w:pStyle w:val="Compact"/>
            </w:pPr>
            <w:r>
              <w:t xml:space="preserve">Both ECH SIG S and UCSF Q17 ask for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Sanctions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01d. Safeguards Policy</w:t>
            </w:r>
            <w:r>
              <w:t xml:space="preserve"> </w:t>
            </w:r>
            <w:r>
              <w:t xml:space="preserve">/ HIPAA §164.530(e) (sanctions clause); referenced from every consolidated policy’s §V Sanctions section</w:t>
            </w:r>
          </w:p>
        </w:tc>
        <w:tc>
          <w:tcPr/>
          <w:p>
            <w:pPr>
              <w:pStyle w:val="Compact"/>
            </w:pPr>
            <w:r>
              <w:t xml:space="preserve">Per-incident row: date, personnel involved (anonymized if needed), policy violated, sanction applied, follow-up. Even empty (</w:t>
            </w:r>
            <w:r>
              <w:t xml:space="preserve">“no sanctions issued this period”</w:t>
            </w:r>
            <w:r>
              <w:t xml:space="preserve">) satisfies the audit; absence of any tracking is the gap.</w:t>
            </w:r>
          </w:p>
        </w:tc>
        <w:tc>
          <w:tcPr/>
          <w:p>
            <w:pPr>
              <w:pStyle w:val="Compact"/>
            </w:pPr>
            <w:r>
              <w:t xml:space="preserve">Auditors look specifically for evidence the sanctions clause is operationalized.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Cyber-liability insurance certificate</w:t>
            </w:r>
            <w:r>
              <w:t xml:space="preserve"> </w:t>
            </w:r>
            <w:r>
              <w:t xml:space="preserve">(current period)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</w:t>
            </w:r>
            <w:r>
              <w:t xml:space="preserve"> </w:t>
            </w:r>
            <w:r>
              <w:t xml:space="preserve">§III</w:t>
            </w:r>
            <w:r>
              <w:t xml:space="preserve"> </w:t>
            </w:r>
            <w:r>
              <w:t xml:space="preserve">“Insurance”</w:t>
            </w:r>
            <w:r>
              <w:t xml:space="preserve">; ECH Insurance row 181</w:t>
            </w:r>
          </w:p>
        </w:tc>
        <w:tc>
          <w:tcPr/>
          <w:p>
            <w:pPr>
              <w:pStyle w:val="Compact"/>
            </w:pPr>
            <w:r>
              <w:t xml:space="preserve">A scanned / PDF copy of the current policy declarations page. Updated each renewal.</w:t>
            </w:r>
          </w:p>
        </w:tc>
        <w:tc>
          <w:tcPr/>
          <w:p>
            <w:pPr>
              <w:pStyle w:val="Compact"/>
            </w:pPr>
            <w:r>
              <w:t xml:space="preserve">ECH explicitly asks for this as an attachment, not as policy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Pentest report</w:t>
            </w:r>
            <w:r>
              <w:t xml:space="preserve"> </w:t>
            </w:r>
            <w:r>
              <w:t xml:space="preserve">or written</w:t>
            </w:r>
            <w:r>
              <w:t xml:space="preserve"> </w:t>
            </w:r>
            <w:r>
              <w:t xml:space="preserve">“no pentest currently on file”</w:t>
            </w:r>
            <w:r>
              <w:t xml:space="preserve"> </w:t>
            </w:r>
            <w:r>
              <w:t xml:space="preserve">decision 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01a. Information Security Framework</w:t>
            </w:r>
            <w:r>
              <w:t xml:space="preserve"> </w:t>
            </w:r>
            <w:r>
              <w:t xml:space="preserve">§7 /</w:t>
            </w:r>
            <w:r>
              <w:t xml:space="preserve"> </w:t>
            </w:r>
            <w:r>
              <w:rPr>
                <w:rStyle w:val="VerbatimChar"/>
              </w:rPr>
              <w:t xml:space="preserve">06b. SDLC &amp; Asset Lifecycle</w:t>
            </w:r>
            <w:r>
              <w:t xml:space="preserve"> </w:t>
            </w:r>
            <w:r>
              <w:t xml:space="preserve">§III(b); ECH Security Audits rows 182–183</w:t>
            </w:r>
          </w:p>
        </w:tc>
        <w:tc>
          <w:tcPr/>
          <w:p>
            <w:pPr>
              <w:pStyle w:val="Compact"/>
            </w:pPr>
            <w:r>
              <w:t xml:space="preserve">Most recent third-party penetration test report — OR a written decision documented in the Risk Register saying</w:t>
            </w:r>
            <w:r>
              <w:t xml:space="preserve"> </w:t>
            </w:r>
            <w:r>
              <w:t xml:space="preserve">“no pentest commissioned this cycle; accepted risk; rationale”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ECH asks for this; either commission a test or document the acceptance.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PHI request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02b. Patient Rights — Access, Amendment &amp; Accounting of Disclosures</w:t>
            </w:r>
          </w:p>
        </w:tc>
        <w:tc>
          <w:tcPr/>
          <w:p>
            <w:pPr>
              <w:pStyle w:val="Compact"/>
            </w:pPr>
            <w:r>
              <w:t xml:space="preserve">Per request: date received, requester, request type (access / amendment / accounting), response date, outcome (granted / denied with reason), 6-year retention.</w:t>
            </w:r>
          </w:p>
        </w:tc>
        <w:tc>
          <w:tcPr/>
          <w:p>
            <w:pPr>
              <w:pStyle w:val="Compact"/>
            </w:pPr>
            <w:r>
              <w:t xml:space="preserve">HIPAA requires evidence of compliance with the 30-day / 60-day response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HR: Background check &amp; exit interview attestation</w:t>
            </w:r>
          </w:p>
        </w:tc>
        <w:tc>
          <w:tcPr/>
          <w:p>
            <w:pPr>
              <w:pStyle w:val="Compact"/>
            </w:pPr>
            <w:r>
              <w:t xml:space="preserve">UCSF Q29 (referenced by</w:t>
            </w:r>
            <w:r>
              <w:t xml:space="preserve"> </w:t>
            </w:r>
            <w:r>
              <w:rPr>
                <w:rStyle w:val="VerbatimChar"/>
              </w:rPr>
              <w:t xml:space="preserve">01d. Safeguards Policy</w:t>
            </w:r>
            <w:r>
              <w:t xml:space="preserve"> </w:t>
            </w:r>
            <w:r>
              <w:t xml:space="preserve">workforce trust model)</w:t>
            </w:r>
          </w:p>
        </w:tc>
        <w:tc>
          <w:tcPr/>
          <w:p>
            <w:pPr>
              <w:pStyle w:val="Compact"/>
            </w:pPr>
            <w:r>
              <w:t xml:space="preserve">One-paragraph HR-owned attestation: background checks are performed on every workforce member at hire (scope: criminal + reference); exit interviews include HIPAA confidentiality reminder. Plus a check-the-box exit checklist.</w:t>
            </w:r>
          </w:p>
        </w:tc>
        <w:tc>
          <w:tcPr/>
          <w:p>
            <w:pPr>
              <w:pStyle w:val="Compact"/>
            </w:pPr>
            <w:r>
              <w:t xml:space="preserve">UCSF Q29 explicitly asks.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76bd777a4b753b0ff6c6536c71d5b95bc052e4"/>
    <w:p>
      <w:pPr>
        <w:pStyle w:val="Heading2"/>
      </w:pPr>
      <w:r>
        <w:t xml:space="preserve">🟡 Missing — standard priority (create when there’s bandwidth)</w:t>
      </w:r>
    </w:p>
    <w:p>
      <w:pPr>
        <w:pStyle w:val="FirstParagraph"/>
      </w:pPr>
      <w:r>
        <w:t xml:space="preserve">These will strengthen a security review but aren’t blockers if explained verbally.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 to create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What it should contain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Provisioning &amp; Deprovisioning 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03a. Technical Safeguards</w:t>
            </w:r>
            <w:r>
              <w:t xml:space="preserve"> </w:t>
            </w:r>
            <w:r>
              <w:t xml:space="preserve">§II/§III; UCSF Q30</w:t>
            </w:r>
          </w:p>
        </w:tc>
        <w:tc>
          <w:tcPr/>
          <w:p>
            <w:pPr>
              <w:pStyle w:val="Compact"/>
            </w:pPr>
            <w:r>
              <w:t xml:space="preserve">Cross-system process: request → approval → role mapping → least privilege → provisioning → periodic review → termination/offboarding SLAs → physical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Internal/External Data Flow Map and Data Inventory</w:t>
            </w:r>
          </w:p>
        </w:tc>
        <w:tc>
          <w:tcPr/>
          <w:p>
            <w:pPr>
              <w:pStyle w:val="Compact"/>
            </w:pPr>
            <w:r>
              <w:t xml:space="preserve">UCSF Q32</w:t>
            </w:r>
          </w:p>
        </w:tc>
        <w:tc>
          <w:tcPr/>
          <w:p>
            <w:pPr>
              <w:pStyle w:val="Compact"/>
            </w:pPr>
            <w:r>
              <w:t xml:space="preserve">System inventory × PHI categories × source/destination × transfers × vendors × storage location × encryption × owner × retention × BAA status. Diagram +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Security Monitoring / IDS-IPS Statement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(now in</w:t>
            </w:r>
            <w:r>
              <w:t xml:space="preserve"> </w:t>
            </w:r>
            <w:r>
              <w:rPr>
                <w:rStyle w:val="VerbatimChar"/>
              </w:rPr>
              <w:t xml:space="preserve">_old_attempt/</w:t>
            </w:r>
            <w:r>
              <w:t xml:space="preserve">; reflect in</w:t>
            </w:r>
            <w:r>
              <w:t xml:space="preserve"> </w:t>
            </w:r>
            <w:r>
              <w:rPr>
                <w:rStyle w:val="VerbatimChar"/>
              </w:rPr>
              <w:t xml:space="preserve">01a. Framework</w:t>
            </w:r>
            <w:r>
              <w:t xml:space="preserve">); UCSF Q35</w:t>
            </w:r>
          </w:p>
        </w:tc>
        <w:tc>
          <w:tcPr/>
          <w:p>
            <w:pPr>
              <w:pStyle w:val="Compact"/>
            </w:pPr>
            <w:r>
              <w:t xml:space="preserve">What’s monitored (GuardDuty, CloudTrail, NinjaOne agent, etc.), Tenisi alerting workflow, review cadence, escalation, sample alert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 Monitoring / DLP Statement</w:t>
            </w:r>
          </w:p>
        </w:tc>
        <w:tc>
          <w:tcPr/>
          <w:p>
            <w:pPr>
              <w:pStyle w:val="Compact"/>
            </w:pPr>
            <w:r>
              <w:t xml:space="preserve">UCSF Q22</w:t>
            </w:r>
          </w:p>
        </w:tc>
        <w:tc>
          <w:tcPr/>
          <w:p>
            <w:pPr>
              <w:pStyle w:val="Compact"/>
            </w:pPr>
            <w:r>
              <w:t xml:space="preserve">Per-platform audit logging coverage (Fivetran, Databricks, Hex, Aptible, AWS CloudTrail/CloudWatch), AWS User Notifications, review cadence, escalation. Can reuse the UCSF Q22 draft answer as the starting paragraph.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Segmentation / Architecture Statement</w:t>
            </w:r>
          </w:p>
        </w:tc>
        <w:tc>
          <w:tcPr/>
          <w:p>
            <w:pPr>
              <w:pStyle w:val="Compact"/>
            </w:pPr>
            <w:r>
              <w:t xml:space="preserve">UCSF Q15</w:t>
            </w:r>
          </w:p>
        </w:tc>
        <w:tc>
          <w:tcPr/>
          <w:p>
            <w:pPr>
              <w:pStyle w:val="Compact"/>
            </w:pPr>
            <w:r>
              <w:t xml:space="preserve">Cloud-first; no physical server infrastructure; LAN separate from production; wireless split into guest + production. Include a simple diagram.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Configuration Baseline Standard</w:t>
            </w:r>
          </w:p>
        </w:tc>
        <w:tc>
          <w:tcPr/>
          <w:p>
            <w:pPr>
              <w:pStyle w:val="Compact"/>
            </w:pPr>
            <w:r>
              <w:t xml:space="preserve">UCSF Q23</w:t>
            </w:r>
          </w:p>
        </w:tc>
        <w:tc>
          <w:tcPr/>
          <w:p>
            <w:pPr>
              <w:pStyle w:val="Compact"/>
            </w:pPr>
            <w:r>
              <w:t xml:space="preserve">Endpoint / server / cloud / network baseline controls (NinjaOne policy, ConnectSecure agent, etc.), owner, review cadence, exceptions.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Per-site Physical Security Monitoring Statement</w:t>
            </w:r>
          </w:p>
        </w:tc>
        <w:tc>
          <w:tcPr/>
          <w:p>
            <w:pPr>
              <w:pStyle w:val="Compact"/>
            </w:pPr>
            <w:r>
              <w:t xml:space="preserve">UCSF Q36</w:t>
            </w:r>
          </w:p>
        </w:tc>
        <w:tc>
          <w:tcPr/>
          <w:p>
            <w:pPr>
              <w:pStyle w:val="Compact"/>
            </w:pPr>
            <w:r>
              <w:t xml:space="preserve">Per clinic location: locks, cameras (or</w:t>
            </w:r>
            <w:r>
              <w:t xml:space="preserve"> </w:t>
            </w:r>
            <w:r>
              <w:t xml:space="preserve">“none”</w:t>
            </w:r>
            <w:r>
              <w:t xml:space="preserve">), badge readers (or</w:t>
            </w:r>
            <w:r>
              <w:t xml:space="preserve"> </w:t>
            </w:r>
            <w:r>
              <w:t xml:space="preserve">“none”</w:t>
            </w:r>
            <w:r>
              <w:t xml:space="preserve">), visitor logs, restricted areas, responsible owner, exceptions.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Lifecycle SOP + Tenisi hardware inventory export</w:t>
            </w:r>
          </w:p>
        </w:tc>
        <w:tc>
          <w:tcPr/>
          <w:p>
            <w:pPr>
              <w:pStyle w:val="Compact"/>
            </w:pPr>
            <w:r>
              <w:t xml:space="preserve">UCSF Q21 /</w:t>
            </w:r>
            <w:r>
              <w:t xml:space="preserve"> </w:t>
            </w:r>
            <w:r>
              <w:rPr>
                <w:rStyle w:val="VerbatimChar"/>
              </w:rPr>
              <w:t xml:space="preserve">06b. SDLC</w:t>
            </w:r>
          </w:p>
        </w:tc>
        <w:tc>
          <w:tcPr/>
          <w:p>
            <w:pPr>
              <w:pStyle w:val="Compact"/>
            </w:pPr>
            <w:r>
              <w:t xml:space="preserve">Tenisi-managed device inventory (make/model/serial/user/status), acquisition/movement/transfer/disposal process, owner.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RBAC role matrix</w:t>
            </w:r>
            <w:r>
              <w:t xml:space="preserve"> </w:t>
            </w:r>
            <w:r>
              <w:t xml:space="preserve">(screenshot or export)</w:t>
            </w:r>
          </w:p>
        </w:tc>
        <w:tc>
          <w:tcPr/>
          <w:p>
            <w:pPr>
              <w:pStyle w:val="Compact"/>
            </w:pPr>
            <w:r>
              <w:t xml:space="preserve">UCSF Q14</w:t>
            </w:r>
          </w:p>
        </w:tc>
        <w:tc>
          <w:tcPr/>
          <w:p>
            <w:pPr>
              <w:pStyle w:val="Compact"/>
            </w:pPr>
            <w:r>
              <w:t xml:space="preserve">Per-role × per-system permission grid, exported from admin dashboard. Supports the</w:t>
            </w:r>
            <w:r>
              <w:t xml:space="preserve"> </w:t>
            </w:r>
            <w:r>
              <w:t xml:space="preserve">“Yes, RBAC enforced”</w:t>
            </w:r>
            <w:r>
              <w:t xml:space="preserve"> </w:t>
            </w:r>
            <w:r>
              <w:t xml:space="preserve">answer with visual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Pandemic plan activation playbook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</w:t>
            </w:r>
            <w:r>
              <w:t xml:space="preserve"> </w:t>
            </w:r>
            <w:r>
              <w:t xml:space="preserve">§III(h) (pandemic addition)</w:t>
            </w:r>
          </w:p>
        </w:tc>
        <w:tc>
          <w:tcPr/>
          <w:p>
            <w:pPr>
              <w:pStyle w:val="Compact"/>
            </w:pPr>
            <w:r>
              <w:t xml:space="preserve">Step-by-step activation steps for a future pandemic / infectious-disease event (the COVID Policy is the current implementation; this is the generic playbook for the next event).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Multi-vendor risk acceptance 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</w:t>
            </w:r>
            <w:r>
              <w:t xml:space="preserve"> </w:t>
            </w:r>
            <w:r>
              <w:t xml:space="preserve">§III(h) (multi-vendor addition)</w:t>
            </w:r>
          </w:p>
        </w:tc>
        <w:tc>
          <w:tcPr/>
          <w:p>
            <w:pPr>
              <w:pStyle w:val="Compact"/>
            </w:pPr>
            <w:r>
              <w:t xml:space="preserve">One-page memo: Aptible / AWS / Cloudflare / Google Workspace concentration documented; CSO + CEO sign-off; review cadence; exit considerations per vendor.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 log template</w:t>
            </w:r>
            <w:r>
              <w:t xml:space="preserve"> </w:t>
            </w:r>
            <w:r>
              <w:t xml:space="preserve">(and ongoing 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06b. SDLC &amp; Asset Lifecycle Policy</w:t>
            </w:r>
            <w:r>
              <w:t xml:space="preserve"> </w:t>
            </w:r>
            <w:r>
              <w:t xml:space="preserve">§III(c); ECH SIG G.2; UCSF Q25</w:t>
            </w:r>
          </w:p>
        </w:tc>
        <w:tc>
          <w:tcPr/>
          <w:p>
            <w:pPr>
              <w:pStyle w:val="Compact"/>
            </w:pPr>
            <w:r>
              <w:t xml:space="preserve">Per-change row: change description, risk class (standard / normal / emergency), approver, testing performed, deployment date, rollback plan, evidence link (PR + Aptible deploy URL).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 SLA compliance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06b. SDLC &amp; Asset Lifecycle Policy</w:t>
            </w:r>
            <w:r>
              <w:t xml:space="preserve"> </w:t>
            </w:r>
            <w:r>
              <w:t xml:space="preserve">§III(d)</w:t>
            </w:r>
          </w:p>
        </w:tc>
        <w:tc>
          <w:tcPr/>
          <w:p>
            <w:pPr>
              <w:pStyle w:val="Compact"/>
            </w:pPr>
            <w:r>
              <w:t xml:space="preserve">Per CVE / dependency advisory: severity, advisory date, remediation deadline (per SLA: Critical=7d, High=30d, Medium=90d, Low=next cycle), remediation date, evidence link.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ptional-nice-to-have"/>
    <w:p>
      <w:pPr>
        <w:pStyle w:val="Heading2"/>
      </w:pPr>
      <w:r>
        <w:t xml:space="preserve">🟢 Optional / nice-to-have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Why it’s nice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Security &amp; Privacy Roles / RACI addendum</w:t>
            </w:r>
          </w:p>
        </w:tc>
        <w:tc>
          <w:tcPr/>
          <w:p>
            <w:pPr>
              <w:pStyle w:val="Compact"/>
            </w:pPr>
            <w:r>
              <w:t xml:space="preserve">UCSF Q5 — would strengthen the answer that role responsibilities are documented in writing.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Incident Severity &amp; Escalation Matrix</w:t>
            </w:r>
          </w:p>
        </w:tc>
        <w:tc>
          <w:tcPr/>
          <w:p>
            <w:pPr>
              <w:pStyle w:val="Compact"/>
            </w:pPr>
            <w:r>
              <w:t xml:space="preserve">UCSF Q34 — would make criticality tiers explicit in incident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Disposal Certificate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04b. Paper Document Management Policy</w:t>
            </w:r>
            <w:r>
              <w:t xml:space="preserve"> </w:t>
            </w:r>
            <w:r>
              <w:t xml:space="preserve">requires vendor certificates of destruction for shredding services. Keep one per shred cycle.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ow-to-use-this-list"/>
    <w:p>
      <w:pPr>
        <w:pStyle w:val="Heading2"/>
      </w:pPr>
      <w:r>
        <w:t xml:space="preserve">📋 How to use this 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each row marked 🔴 high-priority and not already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Supporting Sources/</w:t>
      </w:r>
      <w:r>
        <w:t xml:space="preserve">: create the document. Doesn’t need to be long — a one-page SOP or a tracked spreadsheet is often enough. Save to</w:t>
      </w:r>
      <w:r>
        <w:t xml:space="preserve"> </w:t>
      </w:r>
      <w:r>
        <w:rPr>
          <w:rStyle w:val="VerbatimChar"/>
        </w:rPr>
        <w:t xml:space="preserve">Supporting Sources/</w:t>
      </w:r>
      <w:r>
        <w:t xml:space="preserve"> </w:t>
      </w:r>
      <w:r>
        <w:t xml:space="preserve">so the next gap-analysis run sees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you create one</w:t>
      </w:r>
      <w:r>
        <w:t xml:space="preserve">, the next pass through this checklist should move it from 🔴/🟡 to the ✅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don’t need to do these all at once</w:t>
      </w:r>
      <w:r>
        <w:t xml:space="preserve">. Prioritize what an actual assessor is likely to ask for next (ECH or UCSF).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Refresh cadence</w:t>
      </w:r>
      <w:r>
        <w:t xml:space="preserve">: the three docs in</w:t>
      </w:r>
      <w:r>
        <w:t xml:space="preserve"> </w:t>
      </w:r>
      <w:r>
        <w:rPr>
          <w:rStyle w:val="VerbatimChar"/>
        </w:rPr>
        <w:t xml:space="preserve">Supporting Sources/</w:t>
      </w:r>
      <w:r>
        <w:t xml:space="preserve"> </w:t>
      </w:r>
      <w:r>
        <w:t xml:space="preserve">today have annual or quarterly refresh expectations. Put a calendar reminder.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walking every active policy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Current Policies (… Generated)/3.a Final Markdown/</w:t>
      </w:r>
      <w:r>
        <w:rPr>
          <w:i/>
          <w:iCs/>
        </w:rPr>
        <w:t xml:space="preserve"> </w:t>
      </w:r>
      <w:r>
        <w:rPr>
          <w:i/>
          <w:iCs/>
        </w:rPr>
        <w:t xml:space="preserve">and cross-referencing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Supporting Sources/</w:t>
      </w:r>
      <w:r>
        <w:rPr>
          <w:i/>
          <w:iCs/>
        </w:rPr>
        <w:t xml:space="preserve"> </w:t>
      </w:r>
      <w:r>
        <w:rPr>
          <w:i/>
          <w:iCs/>
        </w:rPr>
        <w:t xml:space="preserve">folder + the ECH and UCSF coverage matrices in this folder. Re-run the analysis after any policy change or new evidence file lands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Supporting Sources/</w:t>
      </w:r>
      <w:r>
        <w:rPr>
          <w:i/>
          <w:iCs/>
        </w:rP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2026-05-28T16:56:08Z</dcterms:created>
  <dcterms:modified xsi:type="dcterms:W3CDTF">2026-05-28T16:56:08Z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