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Title</w:t>
            </w:r>
            <w:r>
              <w:t xml:space="preserve">: Incident &amp; Breach Response</w:t>
            </w:r>
          </w:p>
        </w:tc>
        <w:tc>
          <w:tcPr/>
          <w:p>
            <w:pPr>
              <w:pStyle w:val="Compact"/>
            </w:pPr>
            <w:r>
              <w:rPr>
                <w:b/>
                <w:bCs/>
              </w:rPr>
              <w:t xml:space="preserve">Merged from Policy #s</w:t>
            </w:r>
            <w:r>
              <w:t xml:space="preserve">: L-004 + IT-009 + AWS/Aptible IR</w:t>
            </w:r>
          </w:p>
        </w:tc>
      </w:tr>
      <w:tr>
        <w:tc>
          <w:tcPr/>
          <w:p>
            <w:pPr>
              <w:pStyle w:val="Compact"/>
            </w:pPr>
            <w:r>
              <w:rPr>
                <w:b/>
                <w:bCs/>
              </w:rPr>
              <w:t xml:space="preserve">Last Revised</w:t>
            </w:r>
            <w:r>
              <w:t xml:space="preserve">: 2026-05-28 (consolidated)</w:t>
            </w:r>
          </w:p>
        </w:tc>
        <w:tc>
          <w:tcPr/>
          <w:p>
            <w:pPr>
              <w:pStyle w:val="Compact"/>
            </w:pPr>
            <w:r>
              <w:rPr>
                <w:b/>
                <w:bCs/>
              </w:rPr>
              <w:t xml:space="preserve">Source policies preserved verbatim as sub-sections</w:t>
            </w:r>
          </w:p>
        </w:tc>
      </w:tr>
    </w:tbl>
    <w:bookmarkStart w:id="25" w:name="incident-breach-response"/>
    <w:p>
      <w:pPr>
        <w:pStyle w:val="Heading1"/>
      </w:pPr>
      <w:r>
        <w:t xml:space="preserve">Incident &amp; Breach Response</w:t>
      </w:r>
    </w:p>
    <w:p>
      <w:pPr>
        <w:pStyle w:val="FirstParagraph"/>
      </w:pPr>
      <w:r>
        <w:t xml:space="preserve">These rules govern Millie’s response to security incidents and breaches affecting Protected Health Information — from initial reporting through investigation, containment, regulatory notification, and post-incident review. This Policy consolidates the general Security Incident Management process, the HIPAA-specific Breach Notification process, and the AWS / Aptible cloud-incident playbook into a single document; each is preserved verbatim as a sub-section.</w:t>
      </w:r>
    </w:p>
    <w:p>
      <w:r>
        <w:pict>
          <v:rect style="width:0;height:1.5pt" o:hralign="center" o:hrstd="t" o:hr="t"/>
        </w:pict>
      </w:r>
    </w:p>
    <w:bookmarkStart w:id="11" w:name="i.-security-incident-management"/>
    <w:p>
      <w:pPr>
        <w:pStyle w:val="Heading2"/>
      </w:pPr>
      <w:r>
        <w:t xml:space="preserve">I. Security Incident Management</w:t>
      </w:r>
    </w:p>
    <w:p>
      <w:pPr>
        <w:pStyle w:val="FirstParagraph"/>
      </w:pPr>
      <w:r>
        <w:rPr>
          <w:i/>
          <w:iCs/>
        </w:rPr>
        <w:t xml:space="preserve">Originally:</w:t>
      </w:r>
      <w:r>
        <w:rPr>
          <w:i/>
          <w:iCs/>
        </w:rPr>
        <w:t xml:space="preserve"> </w:t>
      </w:r>
      <w:r>
        <w:rPr>
          <w:rStyle w:val="VerbatimChar"/>
          <w:i/>
          <w:iCs/>
        </w:rPr>
        <w:t xml:space="preserve">03s HIPAA - Security Incident Management Policy (2).md</w:t>
      </w:r>
      <w:r>
        <w:rPr>
          <w:i/>
          <w:iCs/>
        </w:rPr>
        <w:t xml:space="preserve"> </w:t>
      </w:r>
      <w:r>
        <w:rPr>
          <w:i/>
          <w:iCs/>
        </w:rPr>
        <w:t xml:space="preserve">(Policy # IT-009). Preserved verbatim below.</w:t>
      </w:r>
    </w:p>
    <w:p>
      <w:pPr>
        <w:pStyle w:val="BodyText"/>
      </w:pPr>
      <w:r>
        <w:rPr>
          <w:b/>
          <w:bCs/>
        </w:rPr>
        <w:t xml:space="preserve">Last Reviewed:</w:t>
      </w:r>
      <w:r>
        <w:t xml:space="preserve"> </w:t>
      </w:r>
      <w:r>
        <w:t xml:space="preserve">May 18, 2026 |</w:t>
      </w:r>
      <w:r>
        <w:t xml:space="preserve"> </w:t>
      </w:r>
      <w:r>
        <w:rPr>
          <w:b/>
          <w:bCs/>
        </w:rPr>
        <w:t xml:space="preserve">Review Cadence:</w:t>
      </w:r>
      <w:r>
        <w:t xml:space="preserve"> </w:t>
      </w:r>
      <w:r>
        <w:t xml:space="preserve">Reviewed Annually |</w:t>
      </w:r>
    </w:p>
    <w:bookmarkStart w:id="9" w:name="i.-scope"/>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3"/>
      </w:pPr>
      <w:r>
        <w:t xml:space="preserve">II. Policy</w:t>
      </w:r>
    </w:p>
    <w:p>
      <w:pPr>
        <w:numPr>
          <w:ilvl w:val="0"/>
          <w:numId w:val="1001"/>
        </w:numPr>
      </w:pPr>
      <w:r>
        <w:t xml:space="preserve">It is Company’s policy to ensure the prompt reporting of and response to security incidents in order to prevent the occurrence of similar incidents in the future and safeguard Company’s PHI.</w:t>
      </w:r>
    </w:p>
    <w:p>
      <w:pPr>
        <w:numPr>
          <w:ilvl w:val="0"/>
          <w:numId w:val="1001"/>
        </w:numPr>
      </w:pPr>
      <w:r>
        <w:t xml:space="preserve">This Policy governs the reporting, investigation and management of actual and suspected security incidents that may compromise the security of PHI or cause the loss of or damage to Company property.</w:t>
      </w:r>
      <w:r>
        <w:t xml:space="preserve"> </w:t>
      </w:r>
      <w:r>
        <w:t xml:space="preserve">### III. Procedure</w:t>
      </w:r>
      <w:r>
        <w:t xml:space="preserve"> </w:t>
      </w:r>
      <w:r>
        <w:t xml:space="preserve">#### a. Incident Reporting</w:t>
      </w:r>
    </w:p>
    <w:p>
      <w:pPr>
        <w:numPr>
          <w:ilvl w:val="0"/>
          <w:numId w:val="1001"/>
        </w:numPr>
      </w:pPr>
      <w:r>
        <w:t xml:space="preserve">Subject to the considerations described below, all personnel shall be required to promptly report to the Chief Security Officer, or his or her designee, any observed or suspected (i) security weaknesses or threats to the IT System, (ii) violations of Company’s security policies, and (iii) events that could compromise the integrity, confidentiality and availability of PHI. If the security incident could be considered a Breach of HIPAA, the Chief Security Officer shall immediately notify the Chief Privacy Officer. Provided below is a non-exhaustive list of incidents that are to be reported to the Chief Security Officer or his or her designee:</w:t>
      </w:r>
    </w:p>
    <w:p>
      <w:pPr>
        <w:numPr>
          <w:ilvl w:val="0"/>
          <w:numId w:val="1001"/>
        </w:numPr>
      </w:pPr>
      <w:r>
        <w:t xml:space="preserve">Actual or suspected loss or unauthorized disclosure of PHI;</w:t>
      </w:r>
    </w:p>
    <w:p>
      <w:pPr>
        <w:numPr>
          <w:ilvl w:val="0"/>
          <w:numId w:val="1001"/>
        </w:numPr>
      </w:pPr>
      <w:r>
        <w:t xml:space="preserve">Unauthorized access to or modification of PHI;</w:t>
      </w:r>
    </w:p>
    <w:p>
      <w:pPr>
        <w:numPr>
          <w:ilvl w:val="0"/>
          <w:numId w:val="1001"/>
        </w:numPr>
      </w:pPr>
      <w:r>
        <w:t xml:space="preserve">Unusual behavior of the IT System (e.g., missing files, frequent crashes, misrouted messages);</w:t>
      </w:r>
    </w:p>
    <w:p>
      <w:pPr>
        <w:numPr>
          <w:ilvl w:val="0"/>
          <w:numId w:val="1001"/>
        </w:numPr>
      </w:pPr>
      <w:r>
        <w:t xml:space="preserve">Unauthorized use of the IT System;</w:t>
      </w:r>
    </w:p>
    <w:p>
      <w:pPr>
        <w:numPr>
          <w:ilvl w:val="0"/>
          <w:numId w:val="1001"/>
        </w:numPr>
      </w:pPr>
      <w:r>
        <w:t xml:space="preserve">Loss, theft or disclosure of a password or other access control mechanism; or</w:t>
      </w:r>
    </w:p>
    <w:p>
      <w:pPr>
        <w:numPr>
          <w:ilvl w:val="0"/>
          <w:numId w:val="1001"/>
        </w:numPr>
      </w:pPr>
      <w:r>
        <w:t xml:space="preserve">Theft or loss of or material damage to Company property.</w:t>
      </w:r>
    </w:p>
    <w:p>
      <w:pPr>
        <w:numPr>
          <w:ilvl w:val="0"/>
          <w:numId w:val="1001"/>
        </w:numPr>
      </w:pPr>
      <w:r>
        <w:t xml:space="preserve">The following events may indicate a security threat to the IT System and are to be reported to the Chief Security Officer:</w:t>
      </w:r>
    </w:p>
    <w:p>
      <w:pPr>
        <w:numPr>
          <w:ilvl w:val="0"/>
          <w:numId w:val="1001"/>
        </w:numPr>
      </w:pPr>
      <w:r>
        <w:t xml:space="preserve">Inability to log on to the IT System or any denial of service to a Company account; or</w:t>
      </w:r>
    </w:p>
    <w:p>
      <w:pPr>
        <w:numPr>
          <w:ilvl w:val="0"/>
          <w:numId w:val="1001"/>
        </w:numPr>
      </w:pPr>
      <w:r>
        <w:t xml:space="preserve">Threatened or actual introduction of a virus.</w:t>
      </w:r>
    </w:p>
    <w:p>
      <w:pPr>
        <w:numPr>
          <w:ilvl w:val="0"/>
          <w:numId w:val="1001"/>
        </w:numPr>
      </w:pPr>
      <w:r>
        <w:t xml:space="preserve">Any personnel member who is uncertain as to whether a particular event is reportable should contact his or her supervisor. The Chief Security Officer shall investigate all reports within 24 hours of receipt.</w:t>
      </w:r>
      <w:r>
        <w:t xml:space="preserve"> </w:t>
      </w:r>
      <w:r>
        <w:t xml:space="preserve">#### b. Incident Response</w:t>
      </w:r>
    </w:p>
    <w:p>
      <w:pPr>
        <w:numPr>
          <w:ilvl w:val="0"/>
          <w:numId w:val="1001"/>
        </w:numPr>
      </w:pPr>
      <w:r>
        <w:t xml:space="preserve">The Chief Security Officer, in conjunction with the Chief Compliance Officer and Chief Privacy Officer, as appropriate, shall be responsible for managing Company’s response to all reported security incidents. Upon learning of a security incident, the Chief Security Officer shall conduct a preliminary investigation within 24 hours of the reported incident for purposes of ascertaining whether a bona fide security event has occurred. If a security incident is verified, the Chief Security Officer shall promptly determine the nature and scope of the incident and shall promptly report the matter to the Chief Privacy Officer and Chief Compliance Officer, who shall report the incident to the Chief Executive Officer and others as appropriate and required. The Chief Security Officer shall then designate any other personnel, third parties and other resources he or she deems necessary to effectively respond to the specific incident and obtain any necessary approvals from the Chief Compliance Officer or Chief Executive Officer.</w:t>
      </w:r>
    </w:p>
    <w:p>
      <w:pPr>
        <w:numPr>
          <w:ilvl w:val="0"/>
          <w:numId w:val="1001"/>
        </w:numPr>
      </w:pPr>
      <w:r>
        <w:t xml:space="preserve">Regardless of the nature and scope of the incident, Company’s response shall be based upon the following order of priorities, as applicable:</w:t>
      </w:r>
    </w:p>
    <w:p>
      <w:pPr>
        <w:pStyle w:val="Compact"/>
        <w:numPr>
          <w:ilvl w:val="1"/>
          <w:numId w:val="1002"/>
        </w:numPr>
      </w:pPr>
    </w:p>
    <w:p>
      <w:pPr>
        <w:pStyle w:val="Compact"/>
        <w:numPr>
          <w:ilvl w:val="2"/>
          <w:numId w:val="1003"/>
        </w:numPr>
      </w:pPr>
      <w:r>
        <w:t xml:space="preserve">Protection of human life and safety;</w:t>
      </w:r>
    </w:p>
    <w:p>
      <w:pPr>
        <w:pStyle w:val="Compact"/>
        <w:numPr>
          <w:ilvl w:val="2"/>
          <w:numId w:val="1003"/>
        </w:numPr>
      </w:pPr>
      <w:r>
        <w:t xml:space="preserve">Protection of PHI against unauthorized disclosure, destruction or modification;</w:t>
      </w:r>
    </w:p>
    <w:p>
      <w:pPr>
        <w:pStyle w:val="Compact"/>
        <w:numPr>
          <w:ilvl w:val="2"/>
          <w:numId w:val="1003"/>
        </w:numPr>
      </w:pPr>
      <w:r>
        <w:t xml:space="preserve">Prevention or mitigation of damage to Company’s assets;</w:t>
      </w:r>
    </w:p>
    <w:p>
      <w:pPr>
        <w:pStyle w:val="Compact"/>
        <w:numPr>
          <w:ilvl w:val="2"/>
          <w:numId w:val="1003"/>
        </w:numPr>
      </w:pPr>
      <w:r>
        <w:t xml:space="preserve">Notification of any third parties that may be adversely affected by the event; however, notification shall not be made unless and until approved by the General Counsel;</w:t>
      </w:r>
    </w:p>
    <w:p>
      <w:pPr>
        <w:pStyle w:val="Compact"/>
        <w:numPr>
          <w:ilvl w:val="2"/>
          <w:numId w:val="1003"/>
        </w:numPr>
      </w:pPr>
      <w:r>
        <w:t xml:space="preserve">Minimizing disruption of Company’s computing resources and processes; and</w:t>
      </w:r>
    </w:p>
    <w:p>
      <w:pPr>
        <w:pStyle w:val="Compact"/>
        <w:numPr>
          <w:ilvl w:val="2"/>
          <w:numId w:val="1003"/>
        </w:numPr>
      </w:pPr>
      <w:r>
        <w:t xml:space="preserve">Reporting the incident to applicable law enforcement agencies and insurance carriers, however, notification shall not be made unless and until approved by the Chief Legal Officer.</w:t>
      </w:r>
    </w:p>
    <w:p>
      <w:pPr>
        <w:numPr>
          <w:ilvl w:val="0"/>
          <w:numId w:val="1001"/>
        </w:numPr>
      </w:pPr>
      <w:r>
        <w:t xml:space="preserve">Personnel shall not discuss any events pertaining to specific security incidents with other individuals (including other personnel), except as permitted under this Policy. In no event shall personnel attempt to resolve a suspected security incident without the authorization of the Chief Security Officer and Chief Compliance Officer. All personnel shall cooperate with the Chief Security Officer and Chief Compliance Officer with respect to all aspects of the incident response process.</w:t>
      </w:r>
      <w:r>
        <w:t xml:space="preserve"> </w:t>
      </w:r>
      <w:r>
        <w:t xml:space="preserve">#### c. Log</w:t>
      </w:r>
    </w:p>
    <w:p>
      <w:pPr>
        <w:numPr>
          <w:ilvl w:val="0"/>
          <w:numId w:val="1001"/>
        </w:numPr>
      </w:pPr>
      <w:r>
        <w:t xml:space="preserve">The Chief Security Officer shall be responsible for maintaining a log containing a written record of all reported incidents and the details and events relating to the response process, including, as applicable:</w:t>
      </w:r>
    </w:p>
    <w:p>
      <w:pPr>
        <w:pStyle w:val="Compact"/>
        <w:numPr>
          <w:ilvl w:val="1"/>
          <w:numId w:val="1004"/>
        </w:numPr>
      </w:pPr>
    </w:p>
    <w:p>
      <w:pPr>
        <w:pStyle w:val="Compact"/>
        <w:numPr>
          <w:ilvl w:val="2"/>
          <w:numId w:val="1005"/>
        </w:numPr>
      </w:pPr>
      <w:r>
        <w:t xml:space="preserve">The type of incident;</w:t>
      </w:r>
    </w:p>
    <w:p>
      <w:pPr>
        <w:pStyle w:val="Compact"/>
        <w:numPr>
          <w:ilvl w:val="2"/>
          <w:numId w:val="1005"/>
        </w:numPr>
      </w:pPr>
      <w:r>
        <w:t xml:space="preserve">The date of the incident;</w:t>
      </w:r>
    </w:p>
    <w:p>
      <w:pPr>
        <w:pStyle w:val="Compact"/>
        <w:numPr>
          <w:ilvl w:val="2"/>
          <w:numId w:val="1005"/>
        </w:numPr>
      </w:pPr>
      <w:r>
        <w:t xml:space="preserve">The date the incident was reported to the Chief Security Officer;</w:t>
      </w:r>
    </w:p>
    <w:p>
      <w:pPr>
        <w:pStyle w:val="Compact"/>
        <w:numPr>
          <w:ilvl w:val="2"/>
          <w:numId w:val="1005"/>
        </w:numPr>
      </w:pPr>
      <w:r>
        <w:t xml:space="preserve">If applicable, the date the incident was reported to Company by its Business Associate;</w:t>
      </w:r>
    </w:p>
    <w:p>
      <w:pPr>
        <w:pStyle w:val="Compact"/>
        <w:numPr>
          <w:ilvl w:val="2"/>
          <w:numId w:val="1005"/>
        </w:numPr>
      </w:pPr>
      <w:r>
        <w:t xml:space="preserve">The manner in which the incident was identified;</w:t>
      </w:r>
    </w:p>
    <w:p>
      <w:pPr>
        <w:pStyle w:val="Compact"/>
        <w:numPr>
          <w:ilvl w:val="2"/>
          <w:numId w:val="1005"/>
        </w:numPr>
      </w:pPr>
      <w:r>
        <w:t xml:space="preserve">All internal and external discussions (including the parties and the dates, times and content of same), unless such discussions are privileged in which case, the content shall not be included;</w:t>
      </w:r>
    </w:p>
    <w:p>
      <w:pPr>
        <w:pStyle w:val="Compact"/>
        <w:numPr>
          <w:ilvl w:val="2"/>
          <w:numId w:val="1005"/>
        </w:numPr>
      </w:pPr>
      <w:r>
        <w:t xml:space="preserve">Copies of security audit logs and records;</w:t>
      </w:r>
    </w:p>
    <w:p>
      <w:pPr>
        <w:pStyle w:val="Compact"/>
        <w:numPr>
          <w:ilvl w:val="2"/>
          <w:numId w:val="1005"/>
        </w:numPr>
      </w:pPr>
      <w:r>
        <w:t xml:space="preserve">All remedial actions implemented, the dates of implementation and the results thereof, such as reinstallation of Company’s operating system;</w:t>
      </w:r>
    </w:p>
    <w:p>
      <w:pPr>
        <w:pStyle w:val="Compact"/>
        <w:numPr>
          <w:ilvl w:val="2"/>
          <w:numId w:val="1005"/>
        </w:numPr>
      </w:pPr>
      <w:r>
        <w:t xml:space="preserve">Any actions taken to contain the impact of the incident (e.g., third-party notifications, including an accounting of the disclosure of PHI in accordance with Company’s Policy on Accounting of Disclosures of PHI);</w:t>
      </w:r>
    </w:p>
    <w:p>
      <w:pPr>
        <w:pStyle w:val="Compact"/>
        <w:numPr>
          <w:ilvl w:val="2"/>
          <w:numId w:val="1005"/>
        </w:numPr>
      </w:pPr>
      <w:r>
        <w:t xml:space="preserve">Any law enforcement agencies notified and the dates of such notifications;</w:t>
      </w:r>
    </w:p>
    <w:p>
      <w:pPr>
        <w:pStyle w:val="Compact"/>
        <w:numPr>
          <w:ilvl w:val="2"/>
          <w:numId w:val="1005"/>
        </w:numPr>
      </w:pPr>
      <w:r>
        <w:t xml:space="preserve">All correspondence with insurance carriers; and</w:t>
      </w:r>
    </w:p>
    <w:p>
      <w:pPr>
        <w:pStyle w:val="Compact"/>
        <w:numPr>
          <w:ilvl w:val="2"/>
          <w:numId w:val="1005"/>
        </w:numPr>
      </w:pPr>
      <w:r>
        <w:t xml:space="preserve">Date the incident was closed.</w:t>
      </w:r>
      <w:r>
        <w:t xml:space="preserve"> </w:t>
      </w:r>
      <w:r>
        <w:t xml:space="preserve">#### d. Post-Incident Analysis</w:t>
      </w:r>
    </w:p>
    <w:p>
      <w:pPr>
        <w:numPr>
          <w:ilvl w:val="0"/>
          <w:numId w:val="1001"/>
        </w:numPr>
      </w:pPr>
      <w:r>
        <w:t xml:space="preserve">After an incident has been satisfactorily resolved or contained, the Chief Security Officer shall prepare a written report for submission to the Chief Privacy Officer and Chief Compliance Officer, which shall include the following information, as applicable:</w:t>
      </w:r>
    </w:p>
    <w:p>
      <w:pPr>
        <w:numPr>
          <w:ilvl w:val="0"/>
          <w:numId w:val="1001"/>
        </w:numPr>
      </w:pPr>
      <w:r>
        <w:t xml:space="preserve">A detailed description of the incident;</w:t>
      </w:r>
    </w:p>
    <w:p>
      <w:pPr>
        <w:numPr>
          <w:ilvl w:val="0"/>
          <w:numId w:val="1001"/>
        </w:numPr>
      </w:pPr>
      <w:r>
        <w:t xml:space="preserve">The manner in which the incident occurred;</w:t>
      </w:r>
    </w:p>
    <w:p>
      <w:pPr>
        <w:numPr>
          <w:ilvl w:val="0"/>
          <w:numId w:val="1001"/>
        </w:numPr>
      </w:pPr>
      <w:r>
        <w:t xml:space="preserve">The vulnerabilities in Company’s security protocols and/or the operation of the IT System that were exploited (e.g., how unauthorized access was gained and other relevant details);</w:t>
      </w:r>
    </w:p>
    <w:p>
      <w:pPr>
        <w:numPr>
          <w:ilvl w:val="0"/>
          <w:numId w:val="1001"/>
        </w:numPr>
      </w:pPr>
      <w:r>
        <w:t xml:space="preserve">The manner in which the incident was resolved or contained;</w:t>
      </w:r>
    </w:p>
    <w:p>
      <w:pPr>
        <w:numPr>
          <w:ilvl w:val="0"/>
          <w:numId w:val="1001"/>
        </w:numPr>
      </w:pPr>
      <w:r>
        <w:t xml:space="preserve">Whether existing security policies were adequate or require updating;</w:t>
      </w:r>
    </w:p>
    <w:p>
      <w:pPr>
        <w:numPr>
          <w:ilvl w:val="0"/>
          <w:numId w:val="1001"/>
        </w:numPr>
      </w:pPr>
      <w:r>
        <w:t xml:space="preserve">Any unresolved vulnerabilities;</w:t>
      </w:r>
    </w:p>
    <w:p>
      <w:pPr>
        <w:numPr>
          <w:ilvl w:val="0"/>
          <w:numId w:val="1001"/>
        </w:numPr>
      </w:pPr>
      <w:r>
        <w:t xml:space="preserve">An inventory update for purposes of determining the extent of loss or damage to property of Company; and</w:t>
      </w:r>
    </w:p>
    <w:p>
      <w:pPr>
        <w:numPr>
          <w:ilvl w:val="0"/>
          <w:numId w:val="1001"/>
        </w:numPr>
      </w:pPr>
      <w:r>
        <w:t xml:space="preserve">Any law enforcement agencies notified.</w:t>
      </w:r>
    </w:p>
    <w:p>
      <w:pPr>
        <w:numPr>
          <w:ilvl w:val="0"/>
          <w:numId w:val="1001"/>
        </w:numPr>
      </w:pPr>
      <w:r>
        <w:t xml:space="preserve">The Chief Compliance Officer and Chief Privacy Officer shall forward such report to the Chief Executive Officer, as appropriate.</w:t>
      </w:r>
      <w:r>
        <w:t xml:space="preserve"> </w:t>
      </w:r>
      <w:r>
        <w:t xml:space="preserve">#### e. Annual Report</w:t>
      </w:r>
    </w:p>
    <w:p>
      <w:pPr>
        <w:numPr>
          <w:ilvl w:val="0"/>
          <w:numId w:val="1001"/>
        </w:numPr>
      </w:pPr>
      <w:r>
        <w:t xml:space="preserve">The Chief Security Officer and the Chief Privacy Officer will endeavor to prepare an annual privacy and security report for submission to the Chief Executive Officer, which shall include the following items:</w:t>
      </w:r>
    </w:p>
    <w:p>
      <w:pPr>
        <w:pStyle w:val="Compact"/>
        <w:numPr>
          <w:ilvl w:val="1"/>
          <w:numId w:val="1006"/>
        </w:numPr>
      </w:pPr>
    </w:p>
    <w:p>
      <w:pPr>
        <w:pStyle w:val="Compact"/>
        <w:numPr>
          <w:ilvl w:val="2"/>
          <w:numId w:val="1007"/>
        </w:numPr>
      </w:pPr>
      <w:r>
        <w:t xml:space="preserve">All incidents reported and responded to during the prior year, including breaches;</w:t>
      </w:r>
    </w:p>
    <w:p>
      <w:pPr>
        <w:pStyle w:val="Compact"/>
        <w:numPr>
          <w:ilvl w:val="2"/>
          <w:numId w:val="1007"/>
        </w:numPr>
      </w:pPr>
      <w:r>
        <w:t xml:space="preserve">Security vulnerabilities that were corrected;</w:t>
      </w:r>
    </w:p>
    <w:p>
      <w:pPr>
        <w:pStyle w:val="Compact"/>
        <w:numPr>
          <w:ilvl w:val="2"/>
          <w:numId w:val="1007"/>
        </w:numPr>
      </w:pPr>
      <w:r>
        <w:t xml:space="preserve">The costs associated with each security incident;</w:t>
      </w:r>
    </w:p>
    <w:p>
      <w:pPr>
        <w:pStyle w:val="Compact"/>
        <w:numPr>
          <w:ilvl w:val="2"/>
          <w:numId w:val="1007"/>
        </w:numPr>
      </w:pPr>
      <w:r>
        <w:t xml:space="preserve">Identification of any existing security weaknesses; and</w:t>
      </w:r>
    </w:p>
    <w:p>
      <w:pPr>
        <w:pStyle w:val="Compact"/>
        <w:numPr>
          <w:ilvl w:val="2"/>
          <w:numId w:val="1007"/>
        </w:numPr>
      </w:pPr>
      <w:r>
        <w:t xml:space="preserve">Recommendations to improve Company’s security defenses and limit the frequency, damage and cost of future occurrences.</w:t>
      </w:r>
    </w:p>
    <w:p>
      <w:pPr>
        <w:pStyle w:val="FirstParagraph"/>
      </w:pPr>
      <w:r>
        <w:rPr>
          <w:b/>
          <w:bCs/>
        </w:rPr>
        <w:t xml:space="preserve">IV. Policy Review</w:t>
      </w:r>
    </w:p>
    <w:p>
      <w:pPr>
        <w:numPr>
          <w:ilvl w:val="0"/>
          <w:numId w:val="1008"/>
        </w:numPr>
      </w:pPr>
      <w:r>
        <w:t xml:space="preserve">This Policy shall be reviewed at least annually by the Chief Security Officer, Chief Privacy Officer, and Chief Compliance Officer to ensure compliance with applicable regulatory requirements and to update protocols as necessary.</w:t>
      </w:r>
      <w:r>
        <w:t xml:space="preserve"> </w:t>
      </w:r>
      <w:r>
        <w:t xml:space="preserve">### IV. References</w:t>
      </w:r>
    </w:p>
    <w:p>
      <w:pPr>
        <w:numPr>
          <w:ilvl w:val="0"/>
          <w:numId w:val="1008"/>
        </w:numPr>
      </w:pPr>
      <w:r>
        <w:t xml:space="preserve">45 C.F.R. § 164.308(a)(6)</w:t>
      </w:r>
    </w:p>
    <w:p>
      <w:r>
        <w:pict>
          <v:rect style="width:0;height:1.5pt" o:hralign="center" o:hrstd="t" o:hr="t"/>
        </w:pict>
      </w:r>
    </w:p>
    <w:bookmarkEnd w:id="10"/>
    <w:bookmarkEnd w:id="11"/>
    <w:bookmarkStart w:id="24" w:name="ii.-hipaa-breach-notification"/>
    <w:p>
      <w:pPr>
        <w:pStyle w:val="Heading2"/>
      </w:pPr>
      <w:r>
        <w:t xml:space="preserve">II. HIPAA Breach Notification</w:t>
      </w:r>
    </w:p>
    <w:p>
      <w:pPr>
        <w:pStyle w:val="FirstParagraph"/>
      </w:pPr>
      <w:r>
        <w:rPr>
          <w:i/>
          <w:iCs/>
        </w:rPr>
        <w:t xml:space="preserve">Originally:</w:t>
      </w:r>
      <w:r>
        <w:rPr>
          <w:i/>
          <w:iCs/>
        </w:rPr>
        <w:t xml:space="preserve"> </w:t>
      </w:r>
      <w:r>
        <w:rPr>
          <w:rStyle w:val="VerbatimChar"/>
          <w:i/>
          <w:iCs/>
        </w:rPr>
        <w:t xml:space="preserve">03b HIPAA - Breach Notification Policy.md</w:t>
      </w:r>
      <w:r>
        <w:rPr>
          <w:i/>
          <w:iCs/>
        </w:rPr>
        <w:t xml:space="preserve"> </w:t>
      </w:r>
      <w:r>
        <w:rPr>
          <w:i/>
          <w:iCs/>
        </w:rPr>
        <w:t xml:space="preserve">(Policy # L-004). Preserved verbatim below.</w:t>
      </w:r>
    </w:p>
    <w:bookmarkStart w:id="12" w:name="i.-scope-1"/>
    <w:p>
      <w:pPr>
        <w:pStyle w:val="Heading3"/>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12"/>
    <w:bookmarkStart w:id="13" w:name="ii.-definitions"/>
    <w:p>
      <w:pPr>
        <w:pStyle w:val="Heading3"/>
      </w:pPr>
      <w:r>
        <w:t xml:space="preserve">II. Definitions</w:t>
      </w:r>
    </w:p>
    <w:p>
      <w:pPr>
        <w:pStyle w:val="Compact"/>
        <w:numPr>
          <w:ilvl w:val="0"/>
          <w:numId w:val="1009"/>
        </w:numPr>
      </w:pPr>
      <w:r>
        <w:t xml:space="preserve">“</w:t>
      </w:r>
      <w:r>
        <w:rPr>
          <w:i/>
          <w:iCs/>
        </w:rPr>
        <w:t xml:space="preserve">DHHS</w:t>
      </w:r>
      <w:r>
        <w:t xml:space="preserve">” means the U.S. Department of Health and Human Services.</w:t>
      </w:r>
    </w:p>
    <w:p>
      <w:pPr>
        <w:pStyle w:val="Compact"/>
        <w:numPr>
          <w:ilvl w:val="0"/>
          <w:numId w:val="1009"/>
        </w:numPr>
      </w:pPr>
      <w:r>
        <w:t xml:space="preserve">“</w:t>
      </w:r>
      <w:r>
        <w:rPr>
          <w:i/>
          <w:iCs/>
        </w:rPr>
        <w:t xml:space="preserve">Disclosure</w:t>
      </w:r>
      <w:r>
        <w:t xml:space="preserve">” means the release, transfer, provision of access to, or divulging in any other manner of PHI outside Company holding the information.</w:t>
      </w:r>
    </w:p>
    <w:p>
      <w:pPr>
        <w:pStyle w:val="Compact"/>
        <w:numPr>
          <w:ilvl w:val="0"/>
          <w:numId w:val="1009"/>
        </w:numPr>
      </w:pPr>
      <w:r>
        <w:t xml:space="preserve">“</w:t>
      </w:r>
      <w:r>
        <w:rPr>
          <w:i/>
          <w:iCs/>
        </w:rPr>
        <w:t xml:space="preserve">Unsecured PHI</w:t>
      </w:r>
      <w:r>
        <w:t xml:space="preserve">” means PHI that has not been rendered unusable, unreadable, or indecipherable to unauthorized individuals through the use of a technology or methodology specified by the Secretary of DHHS, (e.g., encryption).</w:t>
      </w:r>
    </w:p>
    <w:p>
      <w:pPr>
        <w:pStyle w:val="Compact"/>
        <w:numPr>
          <w:ilvl w:val="0"/>
          <w:numId w:val="1009"/>
        </w:numPr>
      </w:pPr>
      <w:r>
        <w:t xml:space="preserve">“</w:t>
      </w:r>
      <w:r>
        <w:rPr>
          <w:i/>
          <w:iCs/>
        </w:rPr>
        <w:t xml:space="preserve">Use</w:t>
      </w:r>
      <w:r>
        <w:t xml:space="preserve">” means the sharing, employment, application, utilization, examination, or analysis of such information within Company that maintains the information.</w:t>
      </w:r>
    </w:p>
    <w:p>
      <w:pPr>
        <w:pStyle w:val="FirstParagraph"/>
      </w:pPr>
      <w:r>
        <w:t xml:space="preserve">Note: DHHS has stated that encryption of data in accordance with HIPAA requirements and applicable standards of the National Institute of Standards and Technology (“NIST”) is an acceptable manner of securing PHI. Furthermore, shredding or destruction of documents and cleaning, purging, or destroying electronic media in accordance with NIST standards are also permitted methods of securing PHI. Redaction or merely password protecting information are not considered to be effective means of securing PHI.</w:t>
      </w:r>
    </w:p>
    <w:bookmarkEnd w:id="13"/>
    <w:bookmarkStart w:id="16" w:name="iii.-policy"/>
    <w:p>
      <w:pPr>
        <w:pStyle w:val="Heading3"/>
      </w:pPr>
      <w:r>
        <w:t xml:space="preserve">III. Policy</w:t>
      </w:r>
    </w:p>
    <w:p>
      <w:pPr>
        <w:numPr>
          <w:ilvl w:val="0"/>
          <w:numId w:val="1010"/>
        </w:numPr>
      </w:pPr>
      <w:r>
        <w:t xml:space="preserve">Company will notify affected Individuals and applicable government agencies, as soon as possible, but in no event more than 60 days after the Date of Discovery (as defined below) of a Breach of Unsecured Protected Health Information in accordance with the requirements of the HITECH Act and any applicable state breach notification law.</w:t>
      </w:r>
    </w:p>
    <w:p>
      <w:pPr>
        <w:numPr>
          <w:ilvl w:val="0"/>
          <w:numId w:val="1010"/>
        </w:numPr>
      </w:pPr>
      <w:r>
        <w:t xml:space="preserve">This Policy governs the reporting, investigation, and management of actual and suspected security incidents that may compromise the security of PHI or cause the loss of or damage to Company property.</w:t>
      </w:r>
      <w:r>
        <w:t xml:space="preserve"> </w:t>
      </w:r>
      <w:r>
        <w:t xml:space="preserve">### IV. Procedure</w:t>
      </w:r>
      <w:r>
        <w:t xml:space="preserve"> </w:t>
      </w:r>
      <w:r>
        <w:t xml:space="preserve">#### a. Discovery of a Breach.</w:t>
      </w:r>
    </w:p>
    <w:p>
      <w:pPr>
        <w:numPr>
          <w:ilvl w:val="0"/>
          <w:numId w:val="1010"/>
        </w:numPr>
      </w:pPr>
      <w:r>
        <w:rPr>
          <w:i/>
          <w:iCs/>
        </w:rPr>
        <w:t xml:space="preserve">Reporting Breaches</w:t>
      </w:r>
      <w:r>
        <w:t xml:space="preserve">. All personnel must immediately inform Company’s Chief Privacy Officer of any potential Breach as soon as possible, but in no event later than 48 hours after he or she becomes aware of the Breach. While investigating any potential Breach, the Chief Privacy Officer shall fill out a Report Form, in the form attached hereto as Exhibit D. Business Associates of Company shall report all potential Breaches in accordance with their Business Associate Agreements. Company shall require additional follow-up by its Business Associates as necessary and appropriate and directed by the Chief Privacy Officer.</w:t>
      </w:r>
    </w:p>
    <w:p>
      <w:pPr>
        <w:numPr>
          <w:ilvl w:val="0"/>
          <w:numId w:val="1010"/>
        </w:numPr>
      </w:pPr>
      <w:r>
        <w:rPr>
          <w:i/>
          <w:iCs/>
        </w:rPr>
        <w:t xml:space="preserve">Date of Discovery</w:t>
      </w:r>
      <w:r>
        <w:t xml:space="preserve">. A Breach is considered to have occurred at the time of the impermissible access, use, or disclosure of Unsecured PHI (the “Date of Discovery”). A Breach is not, however, considered to have been discovered, for the purposes of the HITECH Act, until:</w:t>
      </w:r>
    </w:p>
    <w:p>
      <w:pPr>
        <w:numPr>
          <w:ilvl w:val="0"/>
          <w:numId w:val="1010"/>
        </w:numPr>
      </w:pPr>
      <w:r>
        <w:t xml:space="preserve">The first day the Breach is known to Company or its personnel; or</w:t>
      </w:r>
    </w:p>
    <w:p>
      <w:pPr>
        <w:numPr>
          <w:ilvl w:val="0"/>
          <w:numId w:val="1010"/>
        </w:numPr>
      </w:pPr>
      <w:r>
        <w:t xml:space="preserve">The first day that Company, by exercising reasonable diligence, should have known of the Breach.</w:t>
      </w:r>
    </w:p>
    <w:bookmarkStart w:id="14" w:name="b.-investigation"/>
    <w:p>
      <w:pPr>
        <w:pStyle w:val="Heading4"/>
      </w:pPr>
      <w:r>
        <w:t xml:space="preserve">b. Investigation</w:t>
      </w:r>
    </w:p>
    <w:p>
      <w:pPr>
        <w:numPr>
          <w:ilvl w:val="0"/>
          <w:numId w:val="1011"/>
        </w:numPr>
      </w:pPr>
      <w:r>
        <w:rPr>
          <w:i/>
          <w:iCs/>
        </w:rPr>
        <w:t xml:space="preserve">Conduct an Investigation</w:t>
      </w:r>
      <w:r>
        <w:t xml:space="preserve">. After receiving a report of a potential Breach, the Chief Privacy Officer will promptly investigate the circumstances surrounding the potential Breach and will involve the Security Officer and any other Company representatives necessary to conduct such investigation. During the investigation, the Chief Privacy Officer will, to the extent possible:</w:t>
      </w:r>
    </w:p>
    <w:p>
      <w:pPr>
        <w:pStyle w:val="Compact"/>
        <w:numPr>
          <w:ilvl w:val="1"/>
          <w:numId w:val="1012"/>
        </w:numPr>
      </w:pPr>
    </w:p>
    <w:p>
      <w:pPr>
        <w:pStyle w:val="Compact"/>
        <w:numPr>
          <w:ilvl w:val="2"/>
          <w:numId w:val="1013"/>
        </w:numPr>
      </w:pPr>
      <w:r>
        <w:t xml:space="preserve">Determine whether there has been an impermissible access, use, or disclosure of PHI;</w:t>
      </w:r>
    </w:p>
    <w:p>
      <w:pPr>
        <w:pStyle w:val="Compact"/>
        <w:numPr>
          <w:ilvl w:val="2"/>
          <w:numId w:val="1013"/>
        </w:numPr>
      </w:pPr>
      <w:r>
        <w:t xml:space="preserve">Determine who impermissibly accessed, used, or received PHI and to whom the PHI was potentially disclosed, if applicable;</w:t>
      </w:r>
    </w:p>
    <w:p>
      <w:pPr>
        <w:pStyle w:val="Compact"/>
        <w:numPr>
          <w:ilvl w:val="2"/>
          <w:numId w:val="1013"/>
        </w:numPr>
      </w:pPr>
      <w:r>
        <w:t xml:space="preserve">Determine whether the PHI involved in the incident was Unsecured PHI;</w:t>
      </w:r>
    </w:p>
    <w:p>
      <w:pPr>
        <w:pStyle w:val="Compact"/>
        <w:numPr>
          <w:ilvl w:val="2"/>
          <w:numId w:val="1013"/>
        </w:numPr>
      </w:pPr>
      <w:r>
        <w:t xml:space="preserve">Identify the type and amount of PHI involved; and</w:t>
      </w:r>
    </w:p>
    <w:p>
      <w:pPr>
        <w:pStyle w:val="Compact"/>
        <w:numPr>
          <w:ilvl w:val="2"/>
          <w:numId w:val="1013"/>
        </w:numPr>
      </w:pPr>
      <w:r>
        <w:t xml:space="preserve">Determine what steps have been taken (or should be taken) to mitigate risk (e.g., a confidentiality agreement with the person who received the PHI, obtaining the return of the PHI, reporting the incident to the police, etc.).</w:t>
      </w:r>
    </w:p>
    <w:p>
      <w:pPr>
        <w:numPr>
          <w:ilvl w:val="0"/>
          <w:numId w:val="1011"/>
        </w:numPr>
      </w:pPr>
      <w:r>
        <w:rPr>
          <w:i/>
          <w:iCs/>
        </w:rPr>
        <w:t xml:space="preserve">Notification Prior to the Conclusion of the Investigation</w:t>
      </w:r>
      <w:r>
        <w:t xml:space="preserve">. In some situations in which it is apparent that a Breach has occurred, initial Individual notifications may need to be sent prior to the completion of the investigation. The Chief Privacy Officer will be responsible for making a determination of the appropriate timing of the notification based on the requirements of HITECH (see Section IV(d)(i) below).</w:t>
      </w:r>
      <w:r>
        <w:t xml:space="preserve"> </w:t>
      </w:r>
      <w:r>
        <w:t xml:space="preserve">#### c. Determination if a Breach Occurred</w:t>
      </w:r>
    </w:p>
    <w:p>
      <w:pPr>
        <w:numPr>
          <w:ilvl w:val="0"/>
          <w:numId w:val="1011"/>
        </w:numPr>
      </w:pPr>
      <w:r>
        <w:rPr>
          <w:i/>
          <w:iCs/>
        </w:rPr>
        <w:t xml:space="preserve">Breach Determination</w:t>
      </w:r>
      <w:r>
        <w:t xml:space="preserve">. Whenever a potential Breach is reported, a Breach is presumed to have occurred, unless it is demonstrated that there is a low probability that the PHI has been compromised. In addition, the State requirements set forth in Exhibit A will be reviewed.</w:t>
      </w:r>
    </w:p>
    <w:p>
      <w:pPr>
        <w:pStyle w:val="Compact"/>
        <w:numPr>
          <w:ilvl w:val="1"/>
          <w:numId w:val="1014"/>
        </w:numPr>
      </w:pPr>
    </w:p>
    <w:p>
      <w:pPr>
        <w:pStyle w:val="Compact"/>
        <w:numPr>
          <w:ilvl w:val="2"/>
          <w:numId w:val="1015"/>
        </w:numPr>
      </w:pPr>
      <w:r>
        <w:t xml:space="preserve">Notification. If it is determined that a Breach has occurred, Individuals will be notified as directed by the Chief Privacy Officer and as described in Section IV(d); or</w:t>
      </w:r>
    </w:p>
    <w:p>
      <w:pPr>
        <w:pStyle w:val="Compact"/>
        <w:numPr>
          <w:ilvl w:val="2"/>
          <w:numId w:val="1015"/>
        </w:numPr>
      </w:pPr>
      <w:r>
        <w:t xml:space="preserve">Risk Assessment. If it is determined that a Breach has not occurred, the Chief Privacy Officer will document a risk assessment which supports the conclusion that notification of Individuals was not required. In making such determination, the Chief Privacy Officer will consider the factors listed on the Risk Assessment form attached as Exhibit B.</w:t>
      </w:r>
    </w:p>
    <w:p>
      <w:pPr>
        <w:numPr>
          <w:ilvl w:val="0"/>
          <w:numId w:val="1011"/>
        </w:numPr>
      </w:pPr>
      <w:r>
        <w:rPr>
          <w:i/>
          <w:iCs/>
        </w:rPr>
        <w:t xml:space="preserve">Exceptions</w:t>
      </w:r>
      <w:r>
        <w:t xml:space="preserve">. The following do not constitute a Breach that requires notifications to Individuals under HITECH:</w:t>
      </w:r>
    </w:p>
    <w:p>
      <w:pPr>
        <w:pStyle w:val="Compact"/>
        <w:numPr>
          <w:ilvl w:val="1"/>
          <w:numId w:val="1016"/>
        </w:numPr>
      </w:pPr>
    </w:p>
    <w:p>
      <w:pPr>
        <w:pStyle w:val="Compact"/>
        <w:numPr>
          <w:ilvl w:val="2"/>
          <w:numId w:val="1017"/>
        </w:numPr>
      </w:pPr>
      <w:r>
        <w:t xml:space="preserve">The unintentional acquisition, access, or use of PHI by an authorized personnel member or another individual acting under Company’s authority if the acquisition, access, or use was made in good faith, within the scope of such individual’s authority, and does not result in further unauthorized Use or Disclosure.</w:t>
      </w:r>
    </w:p>
    <w:p>
      <w:pPr>
        <w:pStyle w:val="Compact"/>
        <w:numPr>
          <w:ilvl w:val="2"/>
          <w:numId w:val="1017"/>
        </w:numPr>
      </w:pPr>
      <w:r>
        <w:t xml:space="preserve">The inadvertent disclosure of PHI from one person to another person, if both persons were authorized to access the PHI at the same covered entity, organized health care arrangement, or Business Associate, so long as the PHI is not further acquired, accessed, used, or disclosed in an unauthorized manner.</w:t>
      </w:r>
    </w:p>
    <w:p>
      <w:pPr>
        <w:pStyle w:val="Compact"/>
        <w:numPr>
          <w:ilvl w:val="2"/>
          <w:numId w:val="1017"/>
        </w:numPr>
      </w:pPr>
      <w:r>
        <w:t xml:space="preserve">The unauthorized disclosure of PHI when Company or a Business Associate has a good faith belief that the person to whom disclosure was made would not reasonably have been able to retain the information.</w:t>
      </w:r>
      <w:r>
        <w:t xml:space="preserve"> </w:t>
      </w:r>
      <w:r>
        <w:t xml:space="preserve">#### d. Notification of Affected Individuals</w:t>
      </w:r>
    </w:p>
    <w:p>
      <w:pPr>
        <w:numPr>
          <w:ilvl w:val="0"/>
          <w:numId w:val="1011"/>
        </w:numPr>
      </w:pPr>
      <w:r>
        <w:rPr>
          <w:i/>
          <w:iCs/>
        </w:rPr>
        <w:t xml:space="preserve">Time Frame for Notification</w:t>
      </w:r>
      <w:r>
        <w:t xml:space="preserve">. If it is determined that notification is required, such notification shall be made without unreasonable delay, but in no event more than 60 days from the Date of Discovery of the Breach. Company may delay Breach notifications if a law enforcement official requests a delay, subject to the following:</w:t>
      </w:r>
    </w:p>
    <w:p>
      <w:pPr>
        <w:numPr>
          <w:ilvl w:val="0"/>
          <w:numId w:val="1011"/>
        </w:numPr>
      </w:pPr>
      <w:r>
        <w:t xml:space="preserve">If the request is in writing, the delay may be for as long as requested.</w:t>
      </w:r>
    </w:p>
    <w:p>
      <w:pPr>
        <w:numPr>
          <w:ilvl w:val="0"/>
          <w:numId w:val="1011"/>
        </w:numPr>
      </w:pPr>
      <w:r>
        <w:t xml:space="preserve">If it is an oral request, the delay may be for up to 30 days unless a further delay is requested in writing. All oral requests shall be documented by Company including the name of the official making, and the date of, the request.</w:t>
      </w:r>
    </w:p>
    <w:p>
      <w:pPr>
        <w:numPr>
          <w:ilvl w:val="0"/>
          <w:numId w:val="1011"/>
        </w:numPr>
      </w:pPr>
      <w:r>
        <w:rPr>
          <w:i/>
          <w:iCs/>
        </w:rPr>
        <w:t xml:space="preserve">Content of the Notification</w:t>
      </w:r>
      <w:r>
        <w:t xml:space="preserve">. The Chief Privacy Officer will be responsible for arranging the preparation of the required notices of Breaches to Individuals. A template is attached hereto as Exhibit C. Such notifications must be written in plain language, at an appropriate reading level, using clear language and syntax, and must include the following information:</w:t>
      </w:r>
    </w:p>
    <w:p>
      <w:pPr>
        <w:numPr>
          <w:ilvl w:val="0"/>
          <w:numId w:val="1011"/>
        </w:numPr>
      </w:pPr>
      <w:r>
        <w:t xml:space="preserve">A brief description of what happened, including the date of the Breach and Date of Discovery of the Breach, if known;</w:t>
      </w:r>
    </w:p>
    <w:p>
      <w:pPr>
        <w:numPr>
          <w:ilvl w:val="0"/>
          <w:numId w:val="1011"/>
        </w:numPr>
      </w:pPr>
      <w:r>
        <w:t xml:space="preserve">A description of the types of Unsecured PHI involved in the Breach;</w:t>
      </w:r>
    </w:p>
    <w:p>
      <w:pPr>
        <w:numPr>
          <w:ilvl w:val="0"/>
          <w:numId w:val="1011"/>
        </w:numPr>
      </w:pPr>
      <w:r>
        <w:t xml:space="preserve">Any steps Individuals should take to protect themselves from potential harm resulting from the Breach;</w:t>
      </w:r>
    </w:p>
    <w:p>
      <w:pPr>
        <w:numPr>
          <w:ilvl w:val="0"/>
          <w:numId w:val="1011"/>
        </w:numPr>
      </w:pPr>
      <w:r>
        <w:t xml:space="preserve">A brief description of Company’s efforts to investigate the Breach, mitigate harm to Individuals, and protect against further Breaches; and</w:t>
      </w:r>
    </w:p>
    <w:p>
      <w:pPr>
        <w:numPr>
          <w:ilvl w:val="0"/>
          <w:numId w:val="1011"/>
        </w:numPr>
      </w:pPr>
      <w:r>
        <w:t xml:space="preserve">Contact information for Individuals to ask questions or learn about the Breach, which must include a toll-free number, an email address, website, or postal address.</w:t>
      </w:r>
    </w:p>
    <w:p>
      <w:pPr>
        <w:numPr>
          <w:ilvl w:val="0"/>
          <w:numId w:val="1011"/>
        </w:numPr>
      </w:pPr>
      <w:r>
        <w:rPr>
          <w:i/>
          <w:iCs/>
        </w:rPr>
        <w:t xml:space="preserve">General Method of Notification</w:t>
      </w:r>
      <w:r>
        <w:t xml:space="preserve">. Notice to the Individuals affected by a Breach must be provided in written form by certified mail or hand-delivered to the last known address of the Individual.</w:t>
      </w:r>
    </w:p>
    <w:p>
      <w:pPr>
        <w:numPr>
          <w:ilvl w:val="0"/>
          <w:numId w:val="1011"/>
        </w:numPr>
      </w:pPr>
      <w:r>
        <w:t xml:space="preserve">Notice to a minor or an Individual who otherwise lacks legal capacity due to a physical or mental condition may be made to the parent or personal representative.</w:t>
      </w:r>
    </w:p>
    <w:p>
      <w:pPr>
        <w:numPr>
          <w:ilvl w:val="0"/>
          <w:numId w:val="1011"/>
        </w:numPr>
      </w:pPr>
      <w:r>
        <w:t xml:space="preserve">If Company knows that the Individual is deceased and has the address of next of kin or the Individual’s personal representative, notice must be sent to the next of kin or personal representative, and not to the Individual’s emergency contact unless the Individual’s emergency contact is the Individual’s next of kin or personal representative. Company is not required to provide substitute notice to next of kin or a personal representative if Company does not have contact information or has out-of-date contact information for the next of kin or personal representative.</w:t>
      </w:r>
    </w:p>
    <w:p>
      <w:pPr>
        <w:pStyle w:val="FirstParagraph"/>
      </w:pPr>
      <w:r>
        <w:t xml:space="preserve">Note: Urgent notice may be made when the Chief Privacy Officer determines that there is a possibility of imminent misuse of Unsecured PHI. The Chief Privacy Officer, in these cases, may notify affected Individuals by telephone, e-mail, or other means, as well as by written notice.</w:t>
      </w:r>
    </w:p>
    <w:p>
      <w:pPr>
        <w:numPr>
          <w:ilvl w:val="0"/>
          <w:numId w:val="1018"/>
        </w:numPr>
      </w:pPr>
      <w:r>
        <w:rPr>
          <w:i/>
          <w:iCs/>
        </w:rPr>
        <w:t xml:space="preserve">Substitute Notice</w:t>
      </w:r>
      <w:r>
        <w:t xml:space="preserve">. Substitute notice to the Individuals will be provided if Company has insufficient or out-of-date contact information for affected Individuals.</w:t>
      </w:r>
    </w:p>
    <w:p>
      <w:pPr>
        <w:numPr>
          <w:ilvl w:val="0"/>
          <w:numId w:val="1018"/>
        </w:numPr>
      </w:pPr>
      <w:r>
        <w:t xml:space="preserve">If there are fewer than 10 Individuals for whom Company has insufficient or out-of-date contact information, an alternative form of notice, such as by telephone or e-mail, newspaper, or website will be used.</w:t>
      </w:r>
    </w:p>
    <w:p>
      <w:pPr>
        <w:numPr>
          <w:ilvl w:val="0"/>
          <w:numId w:val="1018"/>
        </w:numPr>
      </w:pPr>
      <w:r>
        <w:t xml:space="preserve">If there are 10 or more Individuals for whom Company has insufficient or out-of-date contact information, Company will provide the following forms of substitute notice:</w:t>
      </w:r>
    </w:p>
    <w:p>
      <w:pPr>
        <w:pStyle w:val="Compact"/>
        <w:numPr>
          <w:ilvl w:val="1"/>
          <w:numId w:val="1019"/>
        </w:numPr>
      </w:pPr>
      <w:r>
        <w:t xml:space="preserve">Either (A) conspicuous posting for a period of 90 days on the website homepage or by a noticeable and obvious hyperlink to the information; or (B) conspicuous notice in major print or broadcast media in geographic areas where the affected Individuals are likely to reside; and</w:t>
      </w:r>
    </w:p>
    <w:p>
      <w:pPr>
        <w:pStyle w:val="Compact"/>
        <w:numPr>
          <w:ilvl w:val="1"/>
          <w:numId w:val="1019"/>
        </w:numPr>
      </w:pPr>
      <w:r>
        <w:t xml:space="preserve">A toll-free number, active for 90 days, through which Individuals can learn whether their Unsecured PHI was included in the Breach.</w:t>
      </w:r>
    </w:p>
    <w:bookmarkEnd w:id="14"/>
    <w:bookmarkStart w:id="15" w:name="e.-notifications-to-authorities"/>
    <w:p>
      <w:pPr>
        <w:pStyle w:val="Heading4"/>
      </w:pPr>
      <w:r>
        <w:t xml:space="preserve">e. Notifications to Authorities</w:t>
      </w:r>
    </w:p>
    <w:p>
      <w:pPr>
        <w:numPr>
          <w:ilvl w:val="0"/>
          <w:numId w:val="1020"/>
        </w:numPr>
      </w:pPr>
      <w:r>
        <w:rPr>
          <w:i/>
          <w:iCs/>
        </w:rPr>
        <w:t xml:space="preserve">Annual Notification to Secretary</w:t>
      </w:r>
      <w:r>
        <w:t xml:space="preserve">. The Chief Privacy Officer will maintain documentation of Breaches involving less than 500 Individuals. The Chief Privacy Officer will submit to the Secretary, on an annual basis, information regarding Breaches that occurred during the preceding year, no later than 60 days after the end of each calendar year in which the Breach is discovered. The information included in the Breach log will include all of the information included in the Breach notices to Individuals.</w:t>
      </w:r>
    </w:p>
    <w:p>
      <w:pPr>
        <w:numPr>
          <w:ilvl w:val="0"/>
          <w:numId w:val="1020"/>
        </w:numPr>
      </w:pPr>
      <w:r>
        <w:rPr>
          <w:i/>
          <w:iCs/>
        </w:rPr>
        <w:t xml:space="preserve">Notification to DHHS and the Media When 500 or More Affected Individuals are Involved</w:t>
      </w:r>
      <w:r>
        <w:t xml:space="preserve">. If the Breach involves 500 or more Individuals of a State, notice must be given to the Secretary of DHHS at the same time that notices are given to Individuals. Notice must also be provided to prominent media outlets in the State through a press release.</w:t>
      </w:r>
    </w:p>
    <w:p>
      <w:pPr>
        <w:pStyle w:val="Compact"/>
        <w:numPr>
          <w:ilvl w:val="1"/>
          <w:numId w:val="1021"/>
        </w:numPr>
      </w:pPr>
    </w:p>
    <w:p>
      <w:pPr>
        <w:pStyle w:val="Compact"/>
        <w:numPr>
          <w:ilvl w:val="2"/>
          <w:numId w:val="1022"/>
        </w:numPr>
      </w:pPr>
      <w:r>
        <w:t xml:space="preserve">Notification to the media must include the same information included in written notices to Individuals.</w:t>
      </w:r>
    </w:p>
    <w:p>
      <w:pPr>
        <w:pStyle w:val="Compact"/>
        <w:numPr>
          <w:ilvl w:val="2"/>
          <w:numId w:val="1022"/>
        </w:numPr>
      </w:pPr>
      <w:r>
        <w:t xml:space="preserve">Notification to the media will be made without unreasonable delay, and in no case later than 60 calendar days following the Date of Discovery of the Breach.</w:t>
      </w:r>
    </w:p>
    <w:p>
      <w:pPr>
        <w:numPr>
          <w:ilvl w:val="0"/>
          <w:numId w:val="1020"/>
        </w:numPr>
      </w:pPr>
      <w:r>
        <w:rPr>
          <w:i/>
          <w:iCs/>
        </w:rPr>
        <w:t xml:space="preserve">Notification to Insurance Company</w:t>
      </w:r>
      <w:r>
        <w:t xml:space="preserve">. The Chief Privacy Officer shall determine whether Company’s cyber liability insurance provider shall be notified of any Breach, and shall engage them to assist with any notifications, investigations and mitigation activities, as appropriate.</w:t>
      </w:r>
    </w:p>
    <w:p>
      <w:pPr>
        <w:numPr>
          <w:ilvl w:val="0"/>
          <w:numId w:val="1020"/>
        </w:numPr>
      </w:pPr>
      <w:r>
        <w:rPr>
          <w:i/>
          <w:iCs/>
        </w:rPr>
        <w:t xml:space="preserve">Mitigation</w:t>
      </w:r>
      <w:r>
        <w:t xml:space="preserve">. Company will make reasonable efforts to mitigate the effects of a Breach and to reduce harm to Individuals in accordance with its privacy and security policies, which may include as appropriate: providing credit monitoring services to Individuals, retraining personnel on privacy policies or implementing new technical or physical safeguards to protect the privacy of PHI.</w:t>
      </w:r>
      <w:r>
        <w:t xml:space="preserve"> </w:t>
      </w:r>
      <w:r>
        <w:t xml:space="preserve">#### f. Additional Requirements</w:t>
      </w:r>
    </w:p>
    <w:p>
      <w:pPr>
        <w:numPr>
          <w:ilvl w:val="0"/>
          <w:numId w:val="1020"/>
        </w:numPr>
      </w:pPr>
      <w:r>
        <w:rPr>
          <w:i/>
          <w:iCs/>
        </w:rPr>
        <w:t xml:space="preserve">Complaints</w:t>
      </w:r>
      <w:r>
        <w:t xml:space="preserve">. If the Breach resulted from a complaint, the complaint must also be listed on Company’s complaint log and the Company Internal Investigations &amp; Corrective Action Policy will be followed.</w:t>
      </w:r>
    </w:p>
    <w:p>
      <w:pPr>
        <w:numPr>
          <w:ilvl w:val="0"/>
          <w:numId w:val="1020"/>
        </w:numPr>
      </w:pPr>
      <w:r>
        <w:rPr>
          <w:i/>
          <w:iCs/>
        </w:rPr>
        <w:t xml:space="preserve">Security Incident</w:t>
      </w:r>
      <w:r>
        <w:t xml:space="preserve">. To the extent that a Breach involves a security incident, the Chief Security Officer will be immediately informed of the security incident and Company’s Security Incident Management Policy will be followed.</w:t>
      </w:r>
    </w:p>
    <w:p>
      <w:pPr>
        <w:numPr>
          <w:ilvl w:val="0"/>
          <w:numId w:val="1020"/>
        </w:numPr>
      </w:pPr>
      <w:r>
        <w:rPr>
          <w:i/>
          <w:iCs/>
        </w:rPr>
        <w:t xml:space="preserve">Sanctions</w:t>
      </w:r>
      <w:r>
        <w:t xml:space="preserve">. If sanctions against a workforce member result from a Breach, the Company Internal Investigations &amp; Corrective Action Policy will be followed.</w:t>
      </w:r>
    </w:p>
    <w:p>
      <w:pPr>
        <w:numPr>
          <w:ilvl w:val="0"/>
          <w:numId w:val="1020"/>
        </w:numPr>
      </w:pPr>
      <w:r>
        <w:rPr>
          <w:i/>
          <w:iCs/>
        </w:rPr>
        <w:t xml:space="preserve">Accounting.</w:t>
      </w:r>
      <w:r>
        <w:t xml:space="preserve"> </w:t>
      </w:r>
      <w:r>
        <w:t xml:space="preserve">If the Breach resulted from a disclosure, such Breach must be listed on Company’s accounting of disclosures log for each Individual affected by the Breach. (See Company Accounting of Disclosures Policy).</w:t>
      </w:r>
      <w:r>
        <w:t xml:space="preserve"> </w:t>
      </w:r>
      <w:r>
        <w:t xml:space="preserve">### V. References</w:t>
      </w:r>
    </w:p>
    <w:p>
      <w:pPr>
        <w:numPr>
          <w:ilvl w:val="0"/>
          <w:numId w:val="1020"/>
        </w:numPr>
      </w:pPr>
      <w:r>
        <w:t xml:space="preserve">45 C.F.R. §§ 164.400-164.414.</w:t>
      </w:r>
    </w:p>
    <w:bookmarkEnd w:id="15"/>
    <w:bookmarkEnd w:id="16"/>
    <w:bookmarkStart w:id="17" w:name="exhibit-a"/>
    <w:p>
      <w:pPr>
        <w:pStyle w:val="Heading3"/>
      </w:pPr>
      <w:r>
        <w:rPr>
          <w:b/>
          <w:bCs/>
        </w:rPr>
        <w:t xml:space="preserve">EXHIBIT A</w:t>
      </w:r>
    </w:p>
    <w:bookmarkEnd w:id="17"/>
    <w:bookmarkStart w:id="21" w:name="state-breach-notification-requirements"/>
    <w:p>
      <w:pPr>
        <w:pStyle w:val="Heading3"/>
      </w:pPr>
      <w:r>
        <w:rPr>
          <w:b/>
          <w:bCs/>
        </w:rPr>
        <w:t xml:space="preserve">State Breach Notification Requirements</w:t>
      </w:r>
    </w:p>
    <w:p>
      <w:pPr>
        <w:pStyle w:val="FirstParagraph"/>
      </w:pPr>
      <w:r>
        <w:t xml:space="preserve">California law requires a business or state agency to notify any California resident whose unencrypted personal information, as defined, was acquired, or reasonably believed to have been acquired, by an unauthorized person. (</w:t>
      </w:r>
      <w:hyperlink r:id="rId18">
        <w:r>
          <w:rPr>
            <w:rStyle w:val="Hyperlink"/>
          </w:rPr>
          <w:t xml:space="preserve">California Civil Code s. 1798.29(a)</w:t>
        </w:r>
      </w:hyperlink>
      <w:r>
        <w:t xml:space="preserve"> </w:t>
      </w:r>
      <w:r>
        <w:t xml:space="preserve">[agency] and</w:t>
      </w:r>
      <w:r>
        <w:t xml:space="preserve"> </w:t>
      </w:r>
      <w:hyperlink r:id="rId19">
        <w:r>
          <w:rPr>
            <w:rStyle w:val="Hyperlink"/>
          </w:rPr>
          <w:t xml:space="preserve">California Civ. Code s. 1798.82(a)</w:t>
        </w:r>
      </w:hyperlink>
      <w:r>
        <w:t xml:space="preserve"> </w:t>
      </w:r>
      <w:r>
        <w:t xml:space="preserve">[person or business].)</w:t>
      </w:r>
    </w:p>
    <w:p>
      <w:pPr>
        <w:pStyle w:val="BodyText"/>
      </w:pPr>
      <w:r>
        <w:t xml:space="preserve">Any person or business that is required to issue a security breach notification to more than 500 California residents as a result of a single breach of the security system shall electronically submit a single sample copy of that security breach notification, excluding any personally identifiable information, to the Attorney General. (</w:t>
      </w:r>
      <w:hyperlink r:id="rId18">
        <w:r>
          <w:rPr>
            <w:rStyle w:val="Hyperlink"/>
          </w:rPr>
          <w:t xml:space="preserve">California Civil Code s. 1798.29(e)</w:t>
        </w:r>
      </w:hyperlink>
      <w:r>
        <w:t xml:space="preserve"> </w:t>
      </w:r>
      <w:r>
        <w:t xml:space="preserve">[agency] and</w:t>
      </w:r>
      <w:r>
        <w:t xml:space="preserve"> </w:t>
      </w:r>
      <w:hyperlink r:id="rId19">
        <w:r>
          <w:rPr>
            <w:rStyle w:val="Hyperlink"/>
          </w:rPr>
          <w:t xml:space="preserve">California Civ. Code s. 1798.82(f)</w:t>
        </w:r>
      </w:hyperlink>
      <w:r>
        <w:t xml:space="preserve"> </w:t>
      </w:r>
      <w:r>
        <w:t xml:space="preserve">[person or business].)</w:t>
      </w:r>
    </w:p>
    <w:p>
      <w:pPr>
        <w:pStyle w:val="BodyText"/>
      </w:pPr>
      <w:r>
        <w:t xml:space="preserve">Source:</w:t>
      </w:r>
      <w:r>
        <w:t xml:space="preserve"> </w:t>
      </w:r>
      <w:hyperlink r:id="rId20">
        <w:r>
          <w:rPr>
            <w:rStyle w:val="Hyperlink"/>
          </w:rPr>
          <w:t xml:space="preserve">https://oag.ca.gov/privacy/databreach/reporting</w:t>
        </w:r>
      </w:hyperlink>
    </w:p>
    <w:bookmarkEnd w:id="21"/>
    <w:bookmarkStart w:id="22" w:name="exhibit-b"/>
    <w:p>
      <w:pPr>
        <w:pStyle w:val="Heading3"/>
      </w:pPr>
      <w:r>
        <w:rPr>
          <w:b/>
          <w:bCs/>
        </w:rPr>
        <w:t xml:space="preserve">EXHIBIT B</w:t>
      </w:r>
    </w:p>
    <w:bookmarkEnd w:id="22"/>
    <w:bookmarkStart w:id="23" w:name="company-risk-assessment-form"/>
    <w:p>
      <w:pPr>
        <w:pStyle w:val="Heading3"/>
      </w:pPr>
      <w:r>
        <w:rPr>
          <w:b/>
          <w:bCs/>
        </w:rPr>
        <w:t xml:space="preserve">COMPANY RISK ASSESSMENT FORM</w:t>
      </w:r>
    </w:p>
    <w:bookmarkEnd w:id="23"/>
    <w:bookmarkEnd w:id="24"/>
    <w:bookmarkEnd w:id="25"/>
    <w:bookmarkStart w:id="26" w:name="date-_____________________"/>
    <w:p>
      <w:pPr>
        <w:pStyle w:val="Heading1"/>
      </w:pPr>
      <w:r>
        <w:t xml:space="preserve">Date: _____________________</w:t>
      </w:r>
    </w:p>
    <w:bookmarkEnd w:id="26"/>
    <w:bookmarkStart w:id="27" w:name="name-____________________"/>
    <w:p>
      <w:pPr>
        <w:pStyle w:val="Heading1"/>
      </w:pPr>
      <w:r>
        <w:t xml:space="preserve">Name: ____________________</w:t>
      </w:r>
    </w:p>
    <w:bookmarkEnd w:id="27"/>
    <w:bookmarkStart w:id="28" w:name="date-of-incident____________"/>
    <w:p>
      <w:pPr>
        <w:pStyle w:val="Heading1"/>
      </w:pPr>
      <w:r>
        <w:t xml:space="preserve">Date of Incident:____________</w:t>
      </w:r>
    </w:p>
    <w:bookmarkEnd w:id="28"/>
    <w:bookmarkStart w:id="29" w:name="Xf890f0f7c1dc26e1a01cca0d61d654b41333316"/>
    <w:p>
      <w:pPr>
        <w:pStyle w:val="Heading1"/>
      </w:pPr>
      <w:r>
        <w:t xml:space="preserve">Date of Discovery of Incident: ____________</w:t>
      </w:r>
    </w:p>
    <w:bookmarkEnd w:id="29"/>
    <w:bookmarkStart w:id="30" w:name="brief-description-of-incident"/>
    <w:p>
      <w:pPr>
        <w:pStyle w:val="Heading1"/>
      </w:pPr>
      <w:r>
        <w:t xml:space="preserve">Brief Description of Incident:</w:t>
      </w:r>
    </w:p>
    <w:bookmarkEnd w:id="30"/>
    <w:bookmarkStart w:id="35" w:name="X47eb70625c5be6bd501eb8ea5dc1a14d09b0b6b"/>
    <w:p>
      <w:pPr>
        <w:pStyle w:val="Heading1"/>
      </w:pPr>
      <w:r>
        <w:t xml:space="preserve">The nature and extent of the PHI involved, including types of identifiers and likelihood of re-identification.</w:t>
      </w:r>
    </w:p>
    <w:bookmarkStart w:id="31" w:name="X5c7fda7e218e0c1d4e8da3ac2bac05e56baae62"/>
    <w:p>
      <w:pPr>
        <w:pStyle w:val="Heading2"/>
      </w:pPr>
      <w:r>
        <w:t xml:space="preserve">Describe the patient information involved.</w:t>
      </w:r>
    </w:p>
    <w:bookmarkEnd w:id="31"/>
    <w:bookmarkStart w:id="32" w:name="X0fe7762af42ee81253ca6182480a561d7cd4bae"/>
    <w:p>
      <w:pPr>
        <w:pStyle w:val="Heading2"/>
      </w:pPr>
      <w:r>
        <w:t xml:space="preserve">Were direct patient identifiers of information included? (i.e. names or social security numbers of patients)</w:t>
      </w:r>
      <w:r>
        <w:t xml:space="preserve"> </w:t>
      </w:r>
      <w:r>
        <w:rPr>
          <w:b/>
          <w:bCs/>
        </w:rPr>
        <w:t xml:space="preserve">YES or NO</w:t>
      </w:r>
    </w:p>
    <w:bookmarkEnd w:id="32"/>
    <w:bookmarkStart w:id="33" w:name="Xf9b15cf50f7d7ba826b4b64c2c74bf3db297d3a"/>
    <w:p>
      <w:pPr>
        <w:pStyle w:val="Heading2"/>
      </w:pPr>
      <w:r>
        <w:t xml:space="preserve">If no direct identifiers of information were provided, is there a likelihood that the PHI involved could be re-identified based on the context and the ability to link the PHI with other available information?</w:t>
      </w:r>
      <w:r>
        <w:t xml:space="preserve"> </w:t>
      </w:r>
      <w:r>
        <w:rPr>
          <w:b/>
          <w:bCs/>
        </w:rPr>
        <w:t xml:space="preserve">YES or NO</w:t>
      </w:r>
    </w:p>
    <w:bookmarkEnd w:id="33"/>
    <w:bookmarkStart w:id="34" w:name="Xeaae94a19a08c3a0b399e431383423772d6bef1"/>
    <w:p>
      <w:pPr>
        <w:pStyle w:val="Heading2"/>
      </w:pPr>
      <w:r>
        <w:t xml:space="preserve">Is PHI that was involved sensitive in nature?</w:t>
      </w:r>
      <w:r>
        <w:t xml:space="preserve"> </w:t>
      </w:r>
      <w:r>
        <w:rPr>
          <w:b/>
          <w:bCs/>
        </w:rPr>
        <w:t xml:space="preserve">YES or NO</w:t>
      </w:r>
      <w:r>
        <w:t xml:space="preserve"> </w:t>
      </w:r>
      <w:r>
        <w:t xml:space="preserve">If Yes, please describe in further detail below.</w:t>
      </w:r>
    </w:p>
    <w:bookmarkEnd w:id="34"/>
    <w:bookmarkEnd w:id="35"/>
    <w:bookmarkStart w:id="39" w:name="Xeaede958a40e324e99215505ed8f45ab1bd942a"/>
    <w:p>
      <w:pPr>
        <w:pStyle w:val="Heading1"/>
      </w:pPr>
      <w:r>
        <w:t xml:space="preserve">Unauthorized person who used the PHI or to whom the disclosure was made</w:t>
      </w:r>
    </w:p>
    <w:bookmarkStart w:id="36" w:name="Xa0c368b2a55c1d2b3d60f1cb9e8aaf4cd088c15"/>
    <w:p>
      <w:pPr>
        <w:pStyle w:val="Heading2"/>
      </w:pPr>
      <w:r>
        <w:t xml:space="preserve">Who accessed/used the information or to whom was the information disclosed</w:t>
      </w:r>
    </w:p>
    <w:bookmarkEnd w:id="36"/>
    <w:bookmarkStart w:id="37" w:name="X88a0192701c3c312a73d7fa0c05e64ff3b39aee"/>
    <w:p>
      <w:pPr>
        <w:pStyle w:val="Heading2"/>
      </w:pPr>
      <w:r>
        <w:t xml:space="preserve">Was the information disclosed to someone with obligations to protect the privacy of the PHI? (e.g. another covered entity, attorney) Please explain.</w:t>
      </w:r>
      <w:r>
        <w:t xml:space="preserve"> </w:t>
      </w:r>
      <w:r>
        <w:rPr>
          <w:b/>
          <w:bCs/>
        </w:rPr>
        <w:t xml:space="preserve">YES OR NO</w:t>
      </w:r>
    </w:p>
    <w:bookmarkEnd w:id="37"/>
    <w:bookmarkStart w:id="38" w:name="X29f322aa29025eb4a6ded35c34be866b4b8a2be"/>
    <w:p>
      <w:pPr>
        <w:pStyle w:val="Heading2"/>
      </w:pPr>
      <w:r>
        <w:t xml:space="preserve">Was the PHI disclosed to someone with a reason to want to misuse the PHI? (e.g. to an employer or family member) Please explain.</w:t>
      </w:r>
      <w:r>
        <w:t xml:space="preserve"> </w:t>
      </w:r>
      <w:r>
        <w:rPr>
          <w:b/>
          <w:bCs/>
        </w:rPr>
        <w:t xml:space="preserve">YES or NO</w:t>
      </w:r>
    </w:p>
    <w:bookmarkEnd w:id="38"/>
    <w:bookmarkEnd w:id="39"/>
    <w:bookmarkStart w:id="41" w:name="was-the-phi-actually-acquired-or-viewed"/>
    <w:p>
      <w:pPr>
        <w:pStyle w:val="Heading1"/>
      </w:pPr>
      <w:r>
        <w:t xml:space="preserve">Was the PHI actually acquired or viewed</w:t>
      </w:r>
    </w:p>
    <w:bookmarkStart w:id="40" w:name="Xfdceacc56689820e300d6a0a501ff7272f0fb5b"/>
    <w:p>
      <w:pPr>
        <w:pStyle w:val="Heading2"/>
      </w:pPr>
      <w:r>
        <w:t xml:space="preserve">Can you demonstrate that PHI was not accessed (i.e. a laptop was stolen but a forensic analysis shows that the PHI was not accessed) Please explain.</w:t>
      </w:r>
      <w:r>
        <w:t xml:space="preserve"> </w:t>
      </w:r>
      <w:r>
        <w:rPr>
          <w:b/>
          <w:bCs/>
        </w:rPr>
        <w:t xml:space="preserve">YES or NO</w:t>
      </w:r>
    </w:p>
    <w:bookmarkEnd w:id="40"/>
    <w:bookmarkEnd w:id="41"/>
    <w:bookmarkStart w:id="43" w:name="X28f9ca73c8122d20af856bdf8d96e9790594199"/>
    <w:p>
      <w:pPr>
        <w:pStyle w:val="Heading1"/>
      </w:pPr>
      <w:r>
        <w:t xml:space="preserve">Extent to which the risk of the PHI has been mitigated</w:t>
      </w:r>
    </w:p>
    <w:bookmarkStart w:id="42" w:name="X21efdc4d5b2ac84daa5ce1b79dd759c29cf120b"/>
    <w:p>
      <w:pPr>
        <w:pStyle w:val="Heading2"/>
      </w:pPr>
      <w:r>
        <w:t xml:space="preserve">Have you received satisfactory assurances from the person who received the PHI that they destroyed the information and did not share the PHI? Please explain and attach written attestation if available.</w:t>
      </w:r>
      <w:r>
        <w:t xml:space="preserve"> </w:t>
      </w:r>
      <w:r>
        <w:rPr>
          <w:b/>
          <w:bCs/>
        </w:rPr>
        <w:t xml:space="preserve">YES or NO</w:t>
      </w:r>
    </w:p>
    <w:bookmarkEnd w:id="42"/>
    <w:bookmarkEnd w:id="43"/>
    <w:bookmarkStart w:id="44" w:name="b.-describe-any-other-mitigating-factors"/>
    <w:p>
      <w:pPr>
        <w:pStyle w:val="Heading1"/>
      </w:pPr>
      <w:r>
        <w:t xml:space="preserve">B.</w:t>
      </w:r>
      <w:r>
        <w:t xml:space="preserve"> </w:t>
      </w:r>
      <w:r>
        <w:rPr>
          <w:b/>
          <w:bCs/>
        </w:rPr>
        <w:t xml:space="preserve">Describe any other mitigating factors:</w:t>
      </w:r>
    </w:p>
    <w:bookmarkEnd w:id="44"/>
    <w:bookmarkStart w:id="51" w:name="Xc3e58ef1fe2d107476055dd55f0ebac92cea715"/>
    <w:p>
      <w:pPr>
        <w:pStyle w:val="Heading1"/>
      </w:pPr>
      <w:r>
        <w:t xml:space="preserve">CONCLUSION (describe why the combination of these factors supports a finding that there was a low probability of compromise):</w:t>
      </w:r>
    </w:p>
    <w:bookmarkStart w:id="45" w:name="exhibit-c"/>
    <w:p>
      <w:pPr>
        <w:pStyle w:val="Heading3"/>
      </w:pPr>
      <w:r>
        <w:rPr>
          <w:b/>
          <w:bCs/>
        </w:rPr>
        <w:t xml:space="preserve">EXHIBIT C</w:t>
      </w:r>
    </w:p>
    <w:p>
      <w:pPr>
        <w:pStyle w:val="FirstParagraph"/>
      </w:pPr>
      <w:r>
        <w:rPr>
          <w:b/>
          <w:bCs/>
        </w:rPr>
        <w:t xml:space="preserve">SAMPLE BREACH LETTER TO BE USED IF NOTIFYING PATIENT</w:t>
      </w:r>
    </w:p>
    <w:p>
      <w:pPr>
        <w:pStyle w:val="BodyText"/>
      </w:pPr>
      <w:r>
        <w:t xml:space="preserve">[Letterhead]</w:t>
      </w:r>
    </w:p>
    <w:p>
      <w:pPr>
        <w:pStyle w:val="BodyText"/>
      </w:pPr>
      <w:r>
        <w:t xml:space="preserve">_______________, 201_</w:t>
      </w:r>
    </w:p>
    <w:p>
      <w:pPr>
        <w:pStyle w:val="BodyText"/>
      </w:pPr>
      <w:r>
        <w:t xml:space="preserve">_____________________</w:t>
      </w:r>
      <w:r>
        <w:t xml:space="preserve"> </w:t>
      </w:r>
      <w:r>
        <w:t xml:space="preserve">_____________________</w:t>
      </w:r>
      <w:r>
        <w:t xml:space="preserve"> </w:t>
      </w:r>
      <w:r>
        <w:t xml:space="preserve">_____________________</w:t>
      </w:r>
    </w:p>
    <w:p>
      <w:pPr>
        <w:pStyle w:val="BodyText"/>
      </w:pPr>
      <w:r>
        <w:t xml:space="preserve">Dear _________________:</w:t>
      </w:r>
    </w:p>
    <w:p>
      <w:pPr>
        <w:pStyle w:val="BodyText"/>
      </w:pPr>
      <w:r>
        <w:t xml:space="preserve">This letter is being sent to inform you of an incident on _______________in which [</w:t>
      </w:r>
      <w:r>
        <w:rPr>
          <w:i/>
          <w:iCs/>
        </w:rPr>
        <w:t xml:space="preserve">Name of Provider</w:t>
      </w:r>
      <w:r>
        <w:t xml:space="preserve">] mistakenly [*describe what happened, including where and if you know who received the information]* We learned of this incident on ____________. The patient/member information that was erroneously disclosed included [</w:t>
      </w:r>
      <w:r>
        <w:rPr>
          <w:i/>
          <w:iCs/>
        </w:rPr>
        <w:t xml:space="preserve">list categories of information that were disclosed</w:t>
      </w:r>
      <w:r>
        <w:t xml:space="preserve">].</w:t>
      </w:r>
    </w:p>
    <w:p>
      <w:pPr>
        <w:pStyle w:val="BodyText"/>
      </w:pPr>
      <w:r>
        <w:t xml:space="preserve">Although we do not believe that there is the likelihood of any additional unauthorized disclosures or misuse of your patient information, we are obligated under Federal Law to let you know about the incident and to remind you to routinely monitor all of your accounts for misuse. [</w:t>
      </w:r>
      <w:r>
        <w:rPr>
          <w:i/>
          <w:iCs/>
        </w:rPr>
        <w:t xml:space="preserve">If you want to offer credit monitoring or have any other mitigation suggestions include here</w:t>
      </w:r>
      <w:r>
        <w:t xml:space="preserve">]</w:t>
      </w:r>
    </w:p>
    <w:p>
      <w:pPr>
        <w:pStyle w:val="BodyText"/>
      </w:pPr>
      <w:r>
        <w:t xml:space="preserve">We assure you that we thoroughly investigated this incident and determined that the [</w:t>
      </w:r>
      <w:r>
        <w:rPr>
          <w:i/>
          <w:iCs/>
        </w:rPr>
        <w:t xml:space="preserve">mistake appears to be a one time error and not indicative of a systemic problem. Nevertheless the applicable employee was counseled regarding this incident</w:t>
      </w:r>
      <w:r>
        <w:t xml:space="preserve">] [</w:t>
      </w:r>
      <w:r>
        <w:rPr>
          <w:i/>
          <w:iCs/>
        </w:rPr>
        <w:t xml:space="preserve">or include description of corrective actions that were taken</w:t>
      </w:r>
      <w:r>
        <w:t xml:space="preserve">]</w:t>
      </w:r>
    </w:p>
    <w:p>
      <w:pPr>
        <w:pStyle w:val="BodyText"/>
      </w:pPr>
      <w:r>
        <w:t xml:space="preserve">We considers security of patient information to be of utmost importance and regularly performs review of its security systems. We apologize for this incident and are available at _________________ to answer questions that you may have.</w:t>
      </w:r>
    </w:p>
    <w:p>
      <w:pPr>
        <w:pStyle w:val="BodyText"/>
      </w:pPr>
      <w:r>
        <w:t xml:space="preserve">Very truly yours,</w:t>
      </w:r>
    </w:p>
    <w:bookmarkEnd w:id="45"/>
    <w:bookmarkStart w:id="46" w:name="exhibit-d"/>
    <w:p>
      <w:pPr>
        <w:pStyle w:val="Heading3"/>
      </w:pPr>
      <w:r>
        <w:rPr>
          <w:b/>
          <w:bCs/>
        </w:rPr>
        <w:t xml:space="preserve">EXHIBIT D</w:t>
      </w:r>
    </w:p>
    <w:p>
      <w:pPr>
        <w:pStyle w:val="FirstParagraph"/>
      </w:pPr>
      <w:r>
        <w:rPr>
          <w:b/>
          <w:bCs/>
        </w:rPr>
        <w:t xml:space="preserve">Company Report Form For Potential HIPAA Breaches</w:t>
      </w:r>
    </w:p>
    <w:p>
      <w:pPr>
        <w:pStyle w:val="BodyText"/>
      </w:pPr>
      <w:r>
        <w:rPr>
          <w:b/>
          <w:bCs/>
        </w:rPr>
        <w:t xml:space="preserve">Breach Affecting.</w:t>
      </w:r>
    </w:p>
    <w:p>
      <w:pPr>
        <w:pStyle w:val="BodyText"/>
      </w:pPr>
      <w:r>
        <w:t xml:space="preserve">___ 500 or more patients</w:t>
      </w:r>
    </w:p>
    <w:p>
      <w:pPr>
        <w:pStyle w:val="BodyText"/>
      </w:pPr>
      <w:r>
        <w:t xml:space="preserve">___ Less than 500 patients</w:t>
      </w:r>
    </w:p>
    <w:p>
      <w:pPr>
        <w:pStyle w:val="BodyText"/>
      </w:pPr>
      <w:r>
        <w:rPr>
          <w:b/>
          <w:bCs/>
        </w:rPr>
        <w:t xml:space="preserve">Business Associates.</w:t>
      </w:r>
      <w:r>
        <w:t xml:space="preserve"> </w:t>
      </w:r>
      <w:r>
        <w:t xml:space="preserve">If any Business Associates were involved in the Breach, please provide the following information:</w:t>
      </w:r>
    </w:p>
    <w:p>
      <w:pPr>
        <w:pStyle w:val="BodyText"/>
      </w:pPr>
      <w:r>
        <w:t xml:space="preserve">Name of Business Associate: ____________________________________________________</w:t>
      </w:r>
    </w:p>
    <w:p>
      <w:pPr>
        <w:pStyle w:val="BodyText"/>
      </w:pPr>
      <w:r>
        <w:rPr>
          <w:b/>
          <w:bCs/>
        </w:rPr>
        <w:t xml:space="preserve">Description of Breach.</w:t>
      </w:r>
    </w:p>
    <w:p>
      <w:pPr>
        <w:pStyle w:val="BodyText"/>
      </w:pPr>
      <w:r>
        <w:t xml:space="preserve">Date(s) of Breach: _____________________________________________________________</w:t>
      </w:r>
    </w:p>
    <w:p>
      <w:pPr>
        <w:pStyle w:val="BodyText"/>
      </w:pPr>
      <w:r>
        <w:t xml:space="preserve">Date(s) of Discovery: ___________________________________________________________</w:t>
      </w:r>
    </w:p>
    <w:p>
      <w:pPr>
        <w:pStyle w:val="BodyText"/>
      </w:pPr>
      <w:r>
        <w:rPr>
          <w:b/>
          <w:bCs/>
        </w:rPr>
        <w:t xml:space="preserve">Approximate Number of Patients Affected by the Breach</w:t>
      </w:r>
      <w:r>
        <w:t xml:space="preserve">: ___________________________</w:t>
      </w:r>
    </w:p>
    <w:p>
      <w:pPr>
        <w:pStyle w:val="BodyText"/>
      </w:pPr>
      <w:r>
        <w:rPr>
          <w:b/>
          <w:bCs/>
        </w:rPr>
        <w:t xml:space="preserve">Type of Breach (Check where appropriate)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Theft</w:t>
            </w:r>
          </w:p>
        </w:tc>
      </w:tr>
      <w:tr>
        <w:tc>
          <w:tcPr/>
          <w:p>
            <w:pPr>
              <w:pStyle w:val="Compact"/>
            </w:pPr>
          </w:p>
        </w:tc>
        <w:tc>
          <w:tcPr/>
          <w:p>
            <w:pPr>
              <w:pStyle w:val="Compact"/>
            </w:pPr>
            <w:r>
              <w:t xml:space="preserve">Loss</w:t>
            </w:r>
          </w:p>
        </w:tc>
      </w:tr>
      <w:tr>
        <w:tc>
          <w:tcPr/>
          <w:p>
            <w:pPr>
              <w:pStyle w:val="Compact"/>
            </w:pPr>
          </w:p>
        </w:tc>
        <w:tc>
          <w:tcPr/>
          <w:p>
            <w:pPr>
              <w:pStyle w:val="Compact"/>
            </w:pPr>
            <w:r>
              <w:t xml:space="preserve">Improper Disposal</w:t>
            </w:r>
          </w:p>
        </w:tc>
      </w:tr>
      <w:tr>
        <w:tc>
          <w:tcPr/>
          <w:p>
            <w:pPr>
              <w:pStyle w:val="Compact"/>
            </w:pPr>
          </w:p>
        </w:tc>
        <w:tc>
          <w:tcPr/>
          <w:p>
            <w:pPr>
              <w:pStyle w:val="Compact"/>
            </w:pPr>
            <w:r>
              <w:t xml:space="preserve">Unauthorized Access</w:t>
            </w:r>
          </w:p>
        </w:tc>
      </w:tr>
      <w:tr>
        <w:tc>
          <w:tcPr/>
          <w:p>
            <w:pPr>
              <w:pStyle w:val="Compact"/>
            </w:pPr>
          </w:p>
        </w:tc>
        <w:tc>
          <w:tcPr/>
          <w:p>
            <w:pPr>
              <w:pStyle w:val="Compact"/>
            </w:pPr>
            <w:r>
              <w:t xml:space="preserve">Hacking/IT Incident</w:t>
            </w:r>
          </w:p>
        </w:tc>
      </w:tr>
      <w:tr>
        <w:tc>
          <w:tcPr/>
          <w:p>
            <w:pPr>
              <w:pStyle w:val="Compact"/>
            </w:pPr>
          </w:p>
        </w:tc>
        <w:tc>
          <w:tcPr/>
          <w:p>
            <w:pPr>
              <w:pStyle w:val="Compact"/>
            </w:pPr>
            <w:r>
              <w:t xml:space="preserve">Other</w:t>
            </w:r>
          </w:p>
        </w:tc>
      </w:tr>
      <w:tr>
        <w:tc>
          <w:tcPr/>
          <w:p>
            <w:pPr>
              <w:pStyle w:val="Compact"/>
            </w:pPr>
          </w:p>
        </w:tc>
        <w:tc>
          <w:tcPr/>
          <w:p>
            <w:pPr>
              <w:pStyle w:val="Compact"/>
            </w:pPr>
            <w:r>
              <w:t xml:space="preserve">Unknown</w:t>
            </w:r>
          </w:p>
        </w:tc>
      </w:tr>
    </w:tbl>
    <w:p>
      <w:pPr>
        <w:pStyle w:val="BodyText"/>
      </w:pPr>
      <w:r>
        <w:t xml:space="preserve">If “Other” is checked, please explain:</w:t>
      </w:r>
    </w:p>
    <w:p>
      <w:pPr>
        <w:pStyle w:val="BodyText"/>
      </w:pPr>
      <w:r>
        <w:rPr>
          <w:b/>
          <w:bCs/>
        </w:rPr>
        <w:t xml:space="preserve">Location of Breached Information at the Time of the Breach (Check where appropriate)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Laptop</w:t>
            </w:r>
          </w:p>
        </w:tc>
      </w:tr>
      <w:tr>
        <w:tc>
          <w:tcPr/>
          <w:p>
            <w:pPr>
              <w:pStyle w:val="Compact"/>
            </w:pPr>
          </w:p>
        </w:tc>
        <w:tc>
          <w:tcPr/>
          <w:p>
            <w:pPr>
              <w:pStyle w:val="Compact"/>
            </w:pPr>
            <w:r>
              <w:t xml:space="preserve">Desktop Computer</w:t>
            </w:r>
          </w:p>
        </w:tc>
      </w:tr>
      <w:tr>
        <w:tc>
          <w:tcPr/>
          <w:p>
            <w:pPr>
              <w:pStyle w:val="Compact"/>
            </w:pPr>
          </w:p>
        </w:tc>
        <w:tc>
          <w:tcPr/>
          <w:p>
            <w:pPr>
              <w:pStyle w:val="Compact"/>
            </w:pPr>
            <w:r>
              <w:t xml:space="preserve">Network Server</w:t>
            </w:r>
          </w:p>
        </w:tc>
      </w:tr>
      <w:tr>
        <w:tc>
          <w:tcPr/>
          <w:p>
            <w:pPr>
              <w:pStyle w:val="Compact"/>
            </w:pPr>
          </w:p>
        </w:tc>
        <w:tc>
          <w:tcPr/>
          <w:p>
            <w:pPr>
              <w:pStyle w:val="Compact"/>
            </w:pPr>
            <w:r>
              <w:t xml:space="preserve">E-Mail</w:t>
            </w:r>
          </w:p>
        </w:tc>
      </w:tr>
      <w:tr>
        <w:tc>
          <w:tcPr/>
          <w:p>
            <w:pPr>
              <w:pStyle w:val="Compact"/>
            </w:pPr>
          </w:p>
        </w:tc>
        <w:tc>
          <w:tcPr/>
          <w:p>
            <w:pPr>
              <w:pStyle w:val="Compact"/>
            </w:pPr>
            <w:r>
              <w:t xml:space="preserve">Other Portable Electronic Device</w:t>
            </w:r>
          </w:p>
        </w:tc>
      </w:tr>
      <w:tr>
        <w:tc>
          <w:tcPr/>
          <w:p>
            <w:pPr>
              <w:pStyle w:val="Compact"/>
            </w:pPr>
          </w:p>
        </w:tc>
        <w:tc>
          <w:tcPr/>
          <w:p>
            <w:pPr>
              <w:pStyle w:val="Compact"/>
            </w:pPr>
            <w:r>
              <w:t xml:space="preserve">Electronic Medical Record</w:t>
            </w:r>
          </w:p>
        </w:tc>
      </w:tr>
      <w:tr>
        <w:tc>
          <w:tcPr/>
          <w:p>
            <w:pPr>
              <w:pStyle w:val="Compact"/>
            </w:pPr>
          </w:p>
        </w:tc>
        <w:tc>
          <w:tcPr/>
          <w:p>
            <w:pPr>
              <w:pStyle w:val="Compact"/>
            </w:pPr>
            <w:r>
              <w:t xml:space="preserve">Paper</w:t>
            </w:r>
          </w:p>
        </w:tc>
      </w:tr>
      <w:tr>
        <w:tc>
          <w:tcPr/>
          <w:p>
            <w:pPr>
              <w:pStyle w:val="Compact"/>
            </w:pPr>
          </w:p>
        </w:tc>
        <w:tc>
          <w:tcPr/>
          <w:p>
            <w:pPr>
              <w:pStyle w:val="Compact"/>
            </w:pPr>
            <w:r>
              <w:t xml:space="preserve">Oral</w:t>
            </w:r>
          </w:p>
        </w:tc>
      </w:tr>
      <w:tr>
        <w:tc>
          <w:tcPr/>
          <w:p>
            <w:pPr>
              <w:pStyle w:val="Compact"/>
            </w:pPr>
          </w:p>
        </w:tc>
        <w:tc>
          <w:tcPr/>
          <w:p>
            <w:pPr>
              <w:pStyle w:val="Compact"/>
            </w:pPr>
            <w:r>
              <w:t xml:space="preserve">Other</w:t>
            </w:r>
          </w:p>
        </w:tc>
      </w:tr>
    </w:tbl>
    <w:p>
      <w:pPr>
        <w:pStyle w:val="BodyText"/>
      </w:pPr>
      <w:r>
        <w:t xml:space="preserve">If “Other” is checked, please describe the location of the Breached Information below:</w:t>
      </w:r>
    </w:p>
    <w:p>
      <w:pPr>
        <w:pStyle w:val="BodyText"/>
      </w:pPr>
      <w:r>
        <w:rPr>
          <w:b/>
          <w:bCs/>
        </w:rPr>
        <w:t xml:space="preserve">Type of Protected Health Information Involved in the Breach (Check where appropriate)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i/>
                <w:iCs/>
              </w:rPr>
              <w:t xml:space="preserve">Demographic/Clinical Information</w:t>
            </w:r>
          </w:p>
        </w:tc>
        <w:tc>
          <w:tcPr/>
          <w:p>
            <w:pPr>
              <w:pStyle w:val="Compact"/>
            </w:pPr>
          </w:p>
        </w:tc>
      </w:tr>
      <w:tr>
        <w:tc>
          <w:tcPr/>
          <w:p>
            <w:pPr>
              <w:pStyle w:val="Compact"/>
            </w:pPr>
          </w:p>
        </w:tc>
        <w:tc>
          <w:tcPr/>
          <w:p>
            <w:pPr>
              <w:pStyle w:val="Compact"/>
            </w:pPr>
          </w:p>
        </w:tc>
        <w:tc>
          <w:tcPr/>
          <w:p>
            <w:pPr>
              <w:pStyle w:val="Compact"/>
            </w:pPr>
            <w:r>
              <w:t xml:space="preserve">Name</w:t>
            </w:r>
          </w:p>
        </w:tc>
      </w:tr>
      <w:tr>
        <w:tc>
          <w:tcPr/>
          <w:p>
            <w:pPr>
              <w:pStyle w:val="Compact"/>
            </w:pPr>
          </w:p>
        </w:tc>
        <w:tc>
          <w:tcPr/>
          <w:p>
            <w:pPr>
              <w:pStyle w:val="Compact"/>
            </w:pPr>
          </w:p>
        </w:tc>
        <w:tc>
          <w:tcPr/>
          <w:p>
            <w:pPr>
              <w:pStyle w:val="Compact"/>
            </w:pPr>
            <w:r>
              <w:t xml:space="preserve">Address/Zip</w:t>
            </w:r>
          </w:p>
        </w:tc>
      </w:tr>
      <w:tr>
        <w:tc>
          <w:tcPr/>
          <w:p>
            <w:pPr>
              <w:pStyle w:val="Compact"/>
            </w:pPr>
          </w:p>
        </w:tc>
        <w:tc>
          <w:tcPr/>
          <w:p>
            <w:pPr>
              <w:pStyle w:val="Compact"/>
            </w:pPr>
          </w:p>
        </w:tc>
        <w:tc>
          <w:tcPr/>
          <w:p>
            <w:pPr>
              <w:pStyle w:val="Compact"/>
            </w:pPr>
            <w:r>
              <w:t xml:space="preserve">Date of Birth</w:t>
            </w:r>
          </w:p>
        </w:tc>
      </w:tr>
      <w:tr>
        <w:tc>
          <w:tcPr/>
          <w:p>
            <w:pPr>
              <w:pStyle w:val="Compact"/>
            </w:pPr>
          </w:p>
        </w:tc>
        <w:tc>
          <w:tcPr/>
          <w:p>
            <w:pPr>
              <w:pStyle w:val="Compact"/>
            </w:pPr>
          </w:p>
        </w:tc>
        <w:tc>
          <w:tcPr/>
          <w:p>
            <w:pPr>
              <w:pStyle w:val="Compact"/>
            </w:pPr>
            <w:r>
              <w:t xml:space="preserve">Social Security Number</w:t>
            </w:r>
          </w:p>
        </w:tc>
      </w:tr>
      <w:tr>
        <w:tc>
          <w:tcPr/>
          <w:p>
            <w:pPr>
              <w:pStyle w:val="Compact"/>
            </w:pPr>
          </w:p>
        </w:tc>
        <w:tc>
          <w:tcPr/>
          <w:p>
            <w:pPr>
              <w:pStyle w:val="Compact"/>
            </w:pPr>
          </w:p>
        </w:tc>
        <w:tc>
          <w:tcPr/>
          <w:p>
            <w:pPr>
              <w:pStyle w:val="Compact"/>
            </w:pPr>
            <w:r>
              <w:t xml:space="preserve">Driver’s License Number</w:t>
            </w:r>
          </w:p>
        </w:tc>
      </w:tr>
      <w:tr>
        <w:tc>
          <w:tcPr/>
          <w:p>
            <w:pPr>
              <w:pStyle w:val="Compact"/>
            </w:pPr>
          </w:p>
        </w:tc>
        <w:tc>
          <w:tcPr/>
          <w:p>
            <w:pPr>
              <w:pStyle w:val="Compact"/>
            </w:pPr>
          </w:p>
        </w:tc>
        <w:tc>
          <w:tcPr/>
          <w:p>
            <w:pPr>
              <w:pStyle w:val="Compact"/>
            </w:pPr>
            <w:r>
              <w:t xml:space="preserve">Other Identifier</w:t>
            </w:r>
          </w:p>
        </w:tc>
      </w:tr>
      <w:tr>
        <w:tc>
          <w:tcPr/>
          <w:p>
            <w:pPr>
              <w:pStyle w:val="Compact"/>
            </w:pPr>
          </w:p>
        </w:tc>
        <w:tc>
          <w:tcPr/>
          <w:p>
            <w:pPr>
              <w:pStyle w:val="Compact"/>
            </w:pPr>
          </w:p>
        </w:tc>
        <w:tc>
          <w:tcPr/>
          <w:p>
            <w:pPr>
              <w:pStyle w:val="Compact"/>
            </w:pPr>
            <w:r>
              <w:t xml:space="preserve">Medical Record Number</w:t>
            </w:r>
          </w:p>
        </w:tc>
      </w:tr>
      <w:tr>
        <w:tc>
          <w:tcPr/>
          <w:p>
            <w:pPr>
              <w:pStyle w:val="Compact"/>
            </w:pPr>
          </w:p>
        </w:tc>
        <w:tc>
          <w:tcPr/>
          <w:p>
            <w:pPr>
              <w:pStyle w:val="Compact"/>
            </w:pPr>
          </w:p>
        </w:tc>
        <w:tc>
          <w:tcPr/>
          <w:p>
            <w:pPr>
              <w:pStyle w:val="Compact"/>
            </w:pPr>
            <w:r>
              <w:t xml:space="preserve">Diagnoses/Conditions</w:t>
            </w:r>
          </w:p>
        </w:tc>
      </w:tr>
      <w:tr>
        <w:tc>
          <w:tcPr/>
          <w:p>
            <w:pPr>
              <w:pStyle w:val="Compact"/>
            </w:pPr>
          </w:p>
        </w:tc>
        <w:tc>
          <w:tcPr/>
          <w:p>
            <w:pPr>
              <w:pStyle w:val="Compact"/>
            </w:pPr>
          </w:p>
        </w:tc>
        <w:tc>
          <w:tcPr/>
          <w:p>
            <w:pPr>
              <w:pStyle w:val="Compact"/>
            </w:pPr>
            <w:r>
              <w:t xml:space="preserve">Medications</w:t>
            </w:r>
          </w:p>
        </w:tc>
      </w:tr>
      <w:tr>
        <w:tc>
          <w:tcPr/>
          <w:p>
            <w:pPr>
              <w:pStyle w:val="Compact"/>
            </w:pPr>
          </w:p>
        </w:tc>
        <w:tc>
          <w:tcPr/>
          <w:p>
            <w:pPr>
              <w:pStyle w:val="Compact"/>
            </w:pPr>
          </w:p>
        </w:tc>
        <w:tc>
          <w:tcPr/>
          <w:p>
            <w:pPr>
              <w:pStyle w:val="Compact"/>
            </w:pPr>
            <w:r>
              <w:t xml:space="preserve">Lab results</w:t>
            </w:r>
          </w:p>
        </w:tc>
      </w:tr>
      <w:tr>
        <w:tc>
          <w:tcPr/>
          <w:p>
            <w:pPr>
              <w:pStyle w:val="Compact"/>
            </w:pPr>
          </w:p>
        </w:tc>
        <w:tc>
          <w:tcPr/>
          <w:p>
            <w:pPr>
              <w:pStyle w:val="Compact"/>
            </w:pPr>
          </w:p>
        </w:tc>
        <w:tc>
          <w:tcPr/>
          <w:p>
            <w:pPr>
              <w:pStyle w:val="Compact"/>
            </w:pPr>
            <w:r>
              <w:t xml:space="preserve">Physician/Operative reports</w:t>
            </w:r>
          </w:p>
        </w:tc>
      </w:tr>
      <w:tr>
        <w:tc>
          <w:tcPr/>
          <w:p>
            <w:pPr>
              <w:pStyle w:val="Compact"/>
            </w:pPr>
          </w:p>
        </w:tc>
        <w:tc>
          <w:tcPr/>
          <w:p>
            <w:pPr>
              <w:pStyle w:val="Compact"/>
            </w:pPr>
          </w:p>
        </w:tc>
        <w:tc>
          <w:tcPr/>
          <w:p>
            <w:pPr>
              <w:pStyle w:val="Compact"/>
            </w:pPr>
            <w:r>
              <w:t xml:space="preserve">Radiology results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i/>
                <w:iCs/>
              </w:rPr>
              <w:t xml:space="preserve">Financial Information</w:t>
            </w:r>
          </w:p>
        </w:tc>
        <w:tc>
          <w:tcPr/>
          <w:p>
            <w:pPr>
              <w:pStyle w:val="Compact"/>
            </w:pPr>
          </w:p>
        </w:tc>
      </w:tr>
      <w:tr>
        <w:tc>
          <w:tcPr/>
          <w:p>
            <w:pPr>
              <w:pStyle w:val="Compact"/>
            </w:pPr>
          </w:p>
        </w:tc>
        <w:tc>
          <w:tcPr/>
          <w:p>
            <w:pPr>
              <w:pStyle w:val="Compact"/>
            </w:pPr>
          </w:p>
        </w:tc>
        <w:tc>
          <w:tcPr/>
          <w:p>
            <w:pPr>
              <w:pStyle w:val="Compact"/>
            </w:pPr>
            <w:r>
              <w:t xml:space="preserve">Credit Card/Bank Acct #</w:t>
            </w:r>
          </w:p>
        </w:tc>
      </w:tr>
      <w:tr>
        <w:tc>
          <w:tcPr/>
          <w:p>
            <w:pPr>
              <w:pStyle w:val="Compact"/>
            </w:pPr>
          </w:p>
        </w:tc>
        <w:tc>
          <w:tcPr/>
          <w:p>
            <w:pPr>
              <w:pStyle w:val="Compact"/>
            </w:pPr>
          </w:p>
        </w:tc>
        <w:tc>
          <w:tcPr/>
          <w:p>
            <w:pPr>
              <w:pStyle w:val="Compact"/>
            </w:pPr>
            <w:r>
              <w:t xml:space="preserve">Insurance Claims Information</w:t>
            </w:r>
          </w:p>
        </w:tc>
      </w:tr>
      <w:tr>
        <w:tc>
          <w:tcPr/>
          <w:p>
            <w:pPr>
              <w:pStyle w:val="Compact"/>
            </w:pPr>
          </w:p>
        </w:tc>
        <w:tc>
          <w:tcPr/>
          <w:p>
            <w:pPr>
              <w:pStyle w:val="Compact"/>
            </w:pPr>
          </w:p>
        </w:tc>
        <w:tc>
          <w:tcPr/>
          <w:p>
            <w:pPr>
              <w:pStyle w:val="Compact"/>
            </w:pPr>
            <w:r>
              <w:t xml:space="preserve">Other Financial Information</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rPr>
                <w:i/>
                <w:iCs/>
              </w:rPr>
              <w:t xml:space="preserve">Other</w:t>
            </w:r>
          </w:p>
        </w:tc>
      </w:tr>
    </w:tbl>
    <w:p>
      <w:pPr>
        <w:pStyle w:val="BodyText"/>
      </w:pPr>
      <w:r>
        <w:t xml:space="preserve">If “Other” is checked, please describe the Breached Information in detail below:</w:t>
      </w:r>
    </w:p>
    <w:p>
      <w:pPr>
        <w:pStyle w:val="BodyText"/>
      </w:pPr>
      <w:r>
        <w:rPr>
          <w:b/>
          <w:bCs/>
        </w:rPr>
        <w:t xml:space="preserve">Brief Description of the Breach</w:t>
      </w:r>
      <w:r>
        <w:t xml:space="preserve">: Please include a description of the Breach, how the Breach occurred, and any additional relevant information regarding the type of Breach, type of media, and type of protected health information involved in the Breach. Also, please identify any employees, agents or contractors associated with the Breach and the extent to which each are involved.:</w:t>
      </w:r>
    </w:p>
    <w:p>
      <w:pPr>
        <w:pStyle w:val="BodyText"/>
      </w:pPr>
      <w:r>
        <w:rPr>
          <w:b/>
          <w:bCs/>
        </w:rPr>
        <w:t xml:space="preserve">Safeguards in Place Prior to the Breach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Firewalls</w:t>
            </w:r>
          </w:p>
        </w:tc>
      </w:tr>
      <w:tr>
        <w:tc>
          <w:tcPr/>
          <w:p>
            <w:pPr>
              <w:pStyle w:val="Compact"/>
            </w:pPr>
          </w:p>
        </w:tc>
        <w:tc>
          <w:tcPr/>
          <w:p>
            <w:pPr>
              <w:pStyle w:val="Compact"/>
            </w:pPr>
            <w:r>
              <w:t xml:space="preserve">Secure Browser Sessions</w:t>
            </w:r>
          </w:p>
        </w:tc>
      </w:tr>
      <w:tr>
        <w:tc>
          <w:tcPr/>
          <w:p>
            <w:pPr>
              <w:pStyle w:val="Compact"/>
            </w:pPr>
          </w:p>
        </w:tc>
        <w:tc>
          <w:tcPr/>
          <w:p>
            <w:pPr>
              <w:pStyle w:val="Compact"/>
            </w:pPr>
            <w:r>
              <w:t xml:space="preserve">Passwords</w:t>
            </w:r>
          </w:p>
        </w:tc>
      </w:tr>
      <w:tr>
        <w:tc>
          <w:tcPr/>
          <w:p>
            <w:pPr>
              <w:pStyle w:val="Compact"/>
            </w:pPr>
          </w:p>
        </w:tc>
        <w:tc>
          <w:tcPr/>
          <w:p>
            <w:pPr>
              <w:pStyle w:val="Compact"/>
            </w:pPr>
            <w:r>
              <w:t xml:space="preserve">Encrypted Wireless</w:t>
            </w:r>
          </w:p>
        </w:tc>
      </w:tr>
      <w:tr>
        <w:tc>
          <w:tcPr/>
          <w:p>
            <w:pPr>
              <w:pStyle w:val="Compact"/>
            </w:pPr>
          </w:p>
        </w:tc>
        <w:tc>
          <w:tcPr/>
          <w:p>
            <w:pPr>
              <w:pStyle w:val="Compact"/>
            </w:pPr>
            <w:r>
              <w:t xml:space="preserve">Physical Security (security alarm, locked cabinet) Please specify:</w:t>
            </w:r>
          </w:p>
        </w:tc>
      </w:tr>
      <w:tr>
        <w:tc>
          <w:tcPr/>
          <w:p>
            <w:pPr>
              <w:pStyle w:val="Compact"/>
            </w:pPr>
          </w:p>
        </w:tc>
        <w:tc>
          <w:tcPr/>
          <w:p>
            <w:pPr>
              <w:pStyle w:val="Compact"/>
            </w:pPr>
            <w:r>
              <w:t xml:space="preserve">Encryption in place</w:t>
            </w:r>
          </w:p>
        </w:tc>
      </w:tr>
      <w:tr>
        <w:tc>
          <w:tcPr/>
          <w:p>
            <w:pPr>
              <w:pStyle w:val="Compact"/>
            </w:pPr>
          </w:p>
        </w:tc>
        <w:tc>
          <w:tcPr/>
          <w:p>
            <w:pPr>
              <w:pStyle w:val="Compact"/>
            </w:pPr>
            <w:r>
              <w:t xml:space="preserve">Anti-virus software</w:t>
            </w:r>
          </w:p>
        </w:tc>
      </w:tr>
      <w:tr>
        <w:tc>
          <w:tcPr/>
          <w:p>
            <w:pPr>
              <w:pStyle w:val="Compact"/>
            </w:pPr>
          </w:p>
        </w:tc>
        <w:tc>
          <w:tcPr/>
          <w:p>
            <w:pPr>
              <w:pStyle w:val="Compact"/>
            </w:pPr>
            <w:r>
              <w:t xml:space="preserve">Intrusion detection</w:t>
            </w:r>
          </w:p>
        </w:tc>
      </w:tr>
      <w:tr>
        <w:tc>
          <w:tcPr/>
          <w:p>
            <w:pPr>
              <w:pStyle w:val="Compact"/>
            </w:pPr>
          </w:p>
        </w:tc>
        <w:tc>
          <w:tcPr/>
          <w:p>
            <w:pPr>
              <w:pStyle w:val="Compact"/>
            </w:pPr>
            <w:r>
              <w:t xml:space="preserve">Biometrics (e.g. eye, thumb print)</w:t>
            </w:r>
          </w:p>
        </w:tc>
      </w:tr>
      <w:tr>
        <w:tc>
          <w:tcPr/>
          <w:p>
            <w:pPr>
              <w:pStyle w:val="Compact"/>
            </w:pPr>
          </w:p>
        </w:tc>
        <w:tc>
          <w:tcPr/>
          <w:p>
            <w:pPr>
              <w:pStyle w:val="Compact"/>
            </w:pPr>
            <w:r>
              <w:t xml:space="preserve">Other</w:t>
            </w:r>
          </w:p>
        </w:tc>
      </w:tr>
    </w:tbl>
    <w:p>
      <w:pPr>
        <w:pStyle w:val="BodyText"/>
      </w:pPr>
      <w:r>
        <w:t xml:space="preserve">If “Other” is checked, please describe the safeguards in detail below:</w:t>
      </w:r>
    </w:p>
    <w:p>
      <w:pPr>
        <w:pStyle w:val="BodyText"/>
      </w:pPr>
      <w:r>
        <w:rPr>
          <w:b/>
          <w:bCs/>
        </w:rPr>
        <w:t xml:space="preserve">Actions Taken in Response to the Breach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Security and/or Privacy Safeguards</w:t>
            </w:r>
          </w:p>
        </w:tc>
      </w:tr>
      <w:tr>
        <w:tc>
          <w:tcPr/>
          <w:p>
            <w:pPr>
              <w:pStyle w:val="Compact"/>
            </w:pPr>
          </w:p>
        </w:tc>
        <w:tc>
          <w:tcPr/>
          <w:p>
            <w:pPr>
              <w:pStyle w:val="Compact"/>
            </w:pPr>
            <w:r>
              <w:t xml:space="preserve">Mitigation</w:t>
            </w:r>
          </w:p>
        </w:tc>
      </w:tr>
      <w:tr>
        <w:tc>
          <w:tcPr/>
          <w:p>
            <w:pPr>
              <w:pStyle w:val="Compact"/>
            </w:pPr>
          </w:p>
        </w:tc>
        <w:tc>
          <w:tcPr/>
          <w:p>
            <w:pPr>
              <w:pStyle w:val="Compact"/>
            </w:pPr>
            <w:r>
              <w:t xml:space="preserve">Sanctions</w:t>
            </w:r>
          </w:p>
        </w:tc>
      </w:tr>
      <w:tr>
        <w:tc>
          <w:tcPr/>
          <w:p>
            <w:pPr>
              <w:pStyle w:val="Compact"/>
            </w:pPr>
          </w:p>
        </w:tc>
        <w:tc>
          <w:tcPr/>
          <w:p>
            <w:pPr>
              <w:pStyle w:val="Compact"/>
            </w:pPr>
            <w:r>
              <w:t xml:space="preserve">Policies and Procedures</w:t>
            </w:r>
          </w:p>
        </w:tc>
      </w:tr>
      <w:tr>
        <w:tc>
          <w:tcPr/>
          <w:p>
            <w:pPr>
              <w:pStyle w:val="Compact"/>
            </w:pPr>
          </w:p>
        </w:tc>
        <w:tc>
          <w:tcPr/>
          <w:p>
            <w:pPr>
              <w:pStyle w:val="Compact"/>
            </w:pPr>
            <w:r>
              <w:t xml:space="preserve">Other</w:t>
            </w:r>
          </w:p>
        </w:tc>
      </w:tr>
    </w:tbl>
    <w:p>
      <w:pPr>
        <w:pStyle w:val="BodyText"/>
      </w:pPr>
      <w:r>
        <w:t xml:space="preserve">If “Other” is checked, please describe the actions taken in response to the Breach in detail below:</w:t>
      </w:r>
    </w:p>
    <w:p>
      <w:r>
        <w:pict>
          <v:rect style="width:0;height:1.5pt" o:hralign="center" o:hrstd="t" o:hr="t"/>
        </w:pict>
      </w:r>
    </w:p>
    <w:bookmarkEnd w:id="46"/>
    <w:bookmarkStart w:id="50" w:name="iii.-aws-aptible-cloud-incident-playbook"/>
    <w:p>
      <w:pPr>
        <w:pStyle w:val="Heading2"/>
      </w:pPr>
      <w:r>
        <w:t xml:space="preserve">III. AWS &amp; Aptible Cloud Incident Playbook</w:t>
      </w:r>
    </w:p>
    <w:p>
      <w:pPr>
        <w:pStyle w:val="FirstParagraph"/>
      </w:pPr>
      <w:r>
        <w:rPr>
          <w:i/>
          <w:iCs/>
        </w:rPr>
        <w:t xml:space="preserve">Originally:</w:t>
      </w:r>
      <w:r>
        <w:rPr>
          <w:i/>
          <w:iCs/>
        </w:rPr>
        <w:t xml:space="preserve"> </w:t>
      </w:r>
      <w:r>
        <w:rPr>
          <w:rStyle w:val="VerbatimChar"/>
          <w:i/>
          <w:iCs/>
        </w:rPr>
        <w:t xml:space="preserve">AWS and Aptible Security Incident Management Policy.md</w:t>
      </w:r>
      <w:r>
        <w:rPr>
          <w:i/>
          <w:iCs/>
        </w:rPr>
        <w:t xml:space="preserve"> </w:t>
      </w:r>
      <w:r>
        <w:rPr>
          <w:i/>
          <w:iCs/>
        </w:rPr>
        <w:t xml:space="preserve">(Policy # (no original Policy #)). Preserved verbatim below.</w:t>
      </w:r>
    </w:p>
    <w:bookmarkStart w:id="47" w:name="i.-scope-2"/>
    <w:p>
      <w:pPr>
        <w:pStyle w:val="Heading3"/>
      </w:pPr>
      <w:r>
        <w:t xml:space="preserve">I. Scope</w:t>
      </w:r>
    </w:p>
    <w:p>
      <w:pPr>
        <w:pStyle w:val="FirstParagraph"/>
      </w:pPr>
      <w:r>
        <w:t xml:space="preserve">This Policy applies to all AWS accounts, AWS-hosted systems, AWS services, AWS-related data environments, Aptible accounts, Aptible-hosted systems, Aptible-related data environments owned, operated, managed, or used by Millie, Inc. (“Company”), and all Company personnel. For purposes of this Policy, the term “personnel” includes all licensed professionals and staff who perform services on behalf of Company.</w:t>
      </w:r>
    </w:p>
    <w:p>
      <w:pPr>
        <w:pStyle w:val="BodyText"/>
      </w:pPr>
      <w:r>
        <w:t xml:space="preserve">This Policy applies in addition to Company’s Security Incident Management Policy, Breach Notification Policy, Contingency Planning Policy, Safeguards Policy, Encryption Policy, Password Management Policy, Remote Access Policy, and Risk Management Policy.</w:t>
      </w:r>
    </w:p>
    <w:bookmarkEnd w:id="47"/>
    <w:bookmarkStart w:id="48" w:name="ii.-policy-1"/>
    <w:p>
      <w:pPr>
        <w:pStyle w:val="Heading3"/>
      </w:pPr>
      <w:r>
        <w:t xml:space="preserve">II. Policy</w:t>
      </w:r>
    </w:p>
    <w:p>
      <w:pPr>
        <w:pStyle w:val="Compact"/>
        <w:numPr>
          <w:ilvl w:val="0"/>
          <w:numId w:val="1023"/>
        </w:numPr>
      </w:pPr>
      <w:r>
        <w:t xml:space="preserve">It is Company’s policy to ensure the prompt reporting of and response to security incidents involving AWS and/or Aptible systems in order to prevent the occurrence of similar incidents in the future and safeguard Company’s PHI.</w:t>
      </w:r>
    </w:p>
    <w:p>
      <w:pPr>
        <w:pStyle w:val="Compact"/>
        <w:numPr>
          <w:ilvl w:val="0"/>
          <w:numId w:val="1023"/>
        </w:numPr>
      </w:pPr>
      <w:r>
        <w:t xml:space="preserve">This Policy governs the reporting, investigation and management of actual and suspected AWS and/or Aptible security incidents that may compromise the security, confidentiality, integrity, or availability of PHI or Company systems.</w:t>
      </w:r>
    </w:p>
    <w:p>
      <w:pPr>
        <w:pStyle w:val="Compact"/>
        <w:numPr>
          <w:ilvl w:val="0"/>
          <w:numId w:val="1023"/>
        </w:numPr>
      </w:pPr>
      <w:r>
        <w:t xml:space="preserve">AWS and/or Aptible security incidents may include, but are not limited to:</w:t>
      </w:r>
    </w:p>
    <w:p>
      <w:pPr>
        <w:pStyle w:val="Compact"/>
        <w:numPr>
          <w:ilvl w:val="1"/>
          <w:numId w:val="1024"/>
        </w:numPr>
      </w:pPr>
      <w:r>
        <w:t xml:space="preserve">Unauthorized access to an AWS account, IAM user, IAM role, access key, Aptible account;</w:t>
      </w:r>
    </w:p>
    <w:p>
      <w:pPr>
        <w:pStyle w:val="Compact"/>
        <w:numPr>
          <w:ilvl w:val="1"/>
          <w:numId w:val="1024"/>
        </w:numPr>
      </w:pPr>
      <w:r>
        <w:t xml:space="preserve">Loss, theft, or disclosure of an AWS or Aptible password, credential, access key, secret,</w:t>
      </w:r>
    </w:p>
    <w:p>
      <w:pPr>
        <w:pStyle w:val="Compact"/>
        <w:numPr>
          <w:ilvl w:val="1"/>
          <w:numId w:val="1024"/>
        </w:numPr>
      </w:pPr>
      <w:r>
        <w:t xml:space="preserve">token, or other access control mechanism;</w:t>
      </w:r>
    </w:p>
    <w:p>
      <w:pPr>
        <w:pStyle w:val="Compact"/>
        <w:numPr>
          <w:ilvl w:val="1"/>
          <w:numId w:val="1024"/>
        </w:numPr>
      </w:pPr>
      <w:r>
        <w:t xml:space="preserve">Unauthorized creation, modification, deletion, or public exposure of AWS resources;</w:t>
      </w:r>
    </w:p>
    <w:p>
      <w:pPr>
        <w:pStyle w:val="Compact"/>
        <w:numPr>
          <w:ilvl w:val="1"/>
          <w:numId w:val="1024"/>
        </w:numPr>
      </w:pPr>
      <w:r>
        <w:t xml:space="preserve">Unauthorized access to or disclosure of PHI stored or processed in AWS-hosted or Aptible-hosted systems;</w:t>
      </w:r>
    </w:p>
    <w:p>
      <w:pPr>
        <w:pStyle w:val="Compact"/>
        <w:numPr>
          <w:ilvl w:val="1"/>
          <w:numId w:val="1024"/>
        </w:numPr>
      </w:pPr>
      <w:r>
        <w:t xml:space="preserve">Public exposure of S3 buckets, databases, backups, logs, or other storage resources;</w:t>
      </w:r>
    </w:p>
    <w:p>
      <w:pPr>
        <w:pStyle w:val="Compact"/>
        <w:numPr>
          <w:ilvl w:val="1"/>
          <w:numId w:val="1024"/>
        </w:numPr>
      </w:pPr>
      <w:r>
        <w:t xml:space="preserve">Unusual AWS activity, including suspicious CloudTrail, CloudWatch, GuardDuty, or other monitoring alerts;</w:t>
      </w:r>
    </w:p>
    <w:p>
      <w:pPr>
        <w:pStyle w:val="Compact"/>
        <w:numPr>
          <w:ilvl w:val="1"/>
          <w:numId w:val="1024"/>
        </w:numPr>
      </w:pPr>
      <w:r>
        <w:t xml:space="preserve">Unauthorized changes to security groups, network access controls, encryption settings, or logging settings;</w:t>
      </w:r>
    </w:p>
    <w:p>
      <w:pPr>
        <w:pStyle w:val="Compact"/>
        <w:numPr>
          <w:ilvl w:val="1"/>
          <w:numId w:val="1024"/>
        </w:numPr>
      </w:pPr>
      <w:r>
        <w:t xml:space="preserve">Suspected malware, ransomware, denial of service, or other compromise affecting AWS-hosted systems; or</w:t>
      </w:r>
    </w:p>
    <w:p>
      <w:pPr>
        <w:pStyle w:val="Compact"/>
        <w:numPr>
          <w:ilvl w:val="1"/>
          <w:numId w:val="1024"/>
        </w:numPr>
      </w:pPr>
      <w:r>
        <w:t xml:space="preserve">Any AWS or Aptible event that could compromise the integrity, confidentiality, or availability of PHI or Company systems.</w:t>
      </w:r>
      <w:r>
        <w:t xml:space="preserve"> </w:t>
      </w:r>
      <w:r>
        <w:t xml:space="preserve">### III. Procedure</w:t>
      </w:r>
    </w:p>
    <w:p>
      <w:pPr>
        <w:pStyle w:val="Compact"/>
        <w:numPr>
          <w:ilvl w:val="0"/>
          <w:numId w:val="1023"/>
        </w:numPr>
      </w:pPr>
      <w:r>
        <w:t xml:space="preserve">Incident Reporting.</w:t>
      </w:r>
    </w:p>
    <w:p>
      <w:pPr>
        <w:pStyle w:val="Compact"/>
        <w:numPr>
          <w:ilvl w:val="1"/>
          <w:numId w:val="1025"/>
        </w:numPr>
      </w:pPr>
      <w:r>
        <w:t xml:space="preserve">All personnel shall promptly report to the Chief Security Officer, any observed or suspected AWS or Aptible security incident, security weakness, violation of Company security policies, or event that could compromise the integrity, confidentiality, or availability of PHI.</w:t>
      </w:r>
    </w:p>
    <w:p>
      <w:pPr>
        <w:pStyle w:val="Compact"/>
        <w:numPr>
          <w:ilvl w:val="1"/>
          <w:numId w:val="1025"/>
        </w:numPr>
      </w:pPr>
      <w:r>
        <w:t xml:space="preserve">If the AWS or Aptible security incident could be considered a Breach of HIPAA, the Chief Security Officer shall immediately notify the Chief Security Officer.</w:t>
      </w:r>
    </w:p>
    <w:p>
      <w:pPr>
        <w:pStyle w:val="Compact"/>
        <w:numPr>
          <w:ilvl w:val="1"/>
          <w:numId w:val="1025"/>
        </w:numPr>
      </w:pPr>
      <w:r>
        <w:t xml:space="preserve">Any personnel member who is uncertain as to whether a particular AWS or Aptible event is reportable should contact his or her supervisor or Chief Security Officer.</w:t>
      </w:r>
    </w:p>
    <w:p>
      <w:pPr>
        <w:pStyle w:val="Compact"/>
        <w:numPr>
          <w:ilvl w:val="1"/>
          <w:numId w:val="1025"/>
        </w:numPr>
      </w:pPr>
      <w:r>
        <w:t xml:space="preserve">Personnel shall not attempt to resolve a suspected AWS or Aptible security incident without authorization from the Chief Security Officer.</w:t>
      </w:r>
    </w:p>
    <w:p>
      <w:pPr>
        <w:pStyle w:val="Compact"/>
        <w:numPr>
          <w:ilvl w:val="0"/>
          <w:numId w:val="1023"/>
        </w:numPr>
      </w:pPr>
      <w:r>
        <w:t xml:space="preserve">Initial Investigation.</w:t>
      </w:r>
    </w:p>
    <w:p>
      <w:pPr>
        <w:pStyle w:val="Compact"/>
        <w:numPr>
          <w:ilvl w:val="1"/>
          <w:numId w:val="1026"/>
        </w:numPr>
      </w:pPr>
      <w:r>
        <w:t xml:space="preserve">Upon learning of a suspected AWS or Aptible security incident, the Chief Security Officer shall conduct a preliminary investigation within 24 hours of the reported incident to determine whether a bona fide security event has occurred.</w:t>
      </w:r>
    </w:p>
    <w:p>
      <w:pPr>
        <w:pStyle w:val="Compact"/>
        <w:numPr>
          <w:ilvl w:val="1"/>
          <w:numId w:val="1026"/>
        </w:numPr>
      </w:pPr>
      <w:r>
        <w:t xml:space="preserve">The preliminary investigation may include review of available AWS and application records, including:</w:t>
      </w:r>
    </w:p>
    <w:p>
      <w:pPr>
        <w:pStyle w:val="Compact"/>
        <w:numPr>
          <w:ilvl w:val="0"/>
          <w:numId w:val="1023"/>
        </w:numPr>
      </w:pPr>
      <w:r>
        <w:t xml:space="preserve">CloudTrail logs;</w:t>
      </w:r>
    </w:p>
    <w:p>
      <w:pPr>
        <w:pStyle w:val="Compact"/>
        <w:numPr>
          <w:ilvl w:val="0"/>
          <w:numId w:val="1023"/>
        </w:numPr>
      </w:pPr>
      <w:r>
        <w:t xml:space="preserve">CloudWatch logs;</w:t>
      </w:r>
    </w:p>
    <w:p>
      <w:pPr>
        <w:pStyle w:val="Compact"/>
        <w:numPr>
          <w:ilvl w:val="0"/>
          <w:numId w:val="1023"/>
        </w:numPr>
      </w:pPr>
      <w:r>
        <w:t xml:space="preserve">GuardDuty findings;</w:t>
      </w:r>
    </w:p>
    <w:p>
      <w:pPr>
        <w:pStyle w:val="Compact"/>
        <w:numPr>
          <w:ilvl w:val="0"/>
          <w:numId w:val="1023"/>
        </w:numPr>
      </w:pPr>
      <w:r>
        <w:t xml:space="preserve">IAM users, roles, policies, and credential reports;</w:t>
      </w:r>
    </w:p>
    <w:p>
      <w:pPr>
        <w:pStyle w:val="Compact"/>
        <w:numPr>
          <w:ilvl w:val="0"/>
          <w:numId w:val="1023"/>
        </w:numPr>
      </w:pPr>
      <w:r>
        <w:t xml:space="preserve">S3 bucket policies, access logs, and public access settings;</w:t>
      </w:r>
    </w:p>
    <w:p>
      <w:pPr>
        <w:pStyle w:val="Compact"/>
        <w:numPr>
          <w:ilvl w:val="0"/>
          <w:numId w:val="1023"/>
        </w:numPr>
      </w:pPr>
      <w:r>
        <w:t xml:space="preserve">Security group and network access settings;</w:t>
      </w:r>
    </w:p>
    <w:p>
      <w:pPr>
        <w:pStyle w:val="Compact"/>
        <w:numPr>
          <w:ilvl w:val="0"/>
          <w:numId w:val="1023"/>
        </w:numPr>
      </w:pPr>
      <w:r>
        <w:t xml:space="preserve">Database access logs via Aptible;</w:t>
      </w:r>
    </w:p>
    <w:p>
      <w:pPr>
        <w:pStyle w:val="Compact"/>
        <w:numPr>
          <w:ilvl w:val="0"/>
          <w:numId w:val="1023"/>
        </w:numPr>
      </w:pPr>
      <w:r>
        <w:t xml:space="preserve">Backup and snapshot records via Aptible; and</w:t>
      </w:r>
    </w:p>
    <w:p>
      <w:pPr>
        <w:pStyle w:val="Compact"/>
        <w:numPr>
          <w:ilvl w:val="0"/>
          <w:numId w:val="1023"/>
        </w:numPr>
      </w:pPr>
      <w:r>
        <w:t xml:space="preserve">Application audit logs.</w:t>
      </w:r>
    </w:p>
    <w:p>
      <w:pPr>
        <w:pStyle w:val="Compact"/>
        <w:numPr>
          <w:ilvl w:val="1"/>
          <w:numId w:val="1027"/>
        </w:numPr>
      </w:pPr>
      <w:r>
        <w:t xml:space="preserve">If a security incident is verified, the Chief Security Officer shall promptly determine the nature and scope of the incident and shall promptly report the matter to the CEO and others as appropriate and required.</w:t>
      </w:r>
    </w:p>
    <w:p>
      <w:pPr>
        <w:pStyle w:val="Compact"/>
        <w:numPr>
          <w:ilvl w:val="0"/>
          <w:numId w:val="1023"/>
        </w:numPr>
      </w:pPr>
      <w:r>
        <w:t xml:space="preserve">Response Priorities.</w:t>
      </w:r>
    </w:p>
    <w:p>
      <w:pPr>
        <w:pStyle w:val="FirstParagraph"/>
      </w:pPr>
      <w:r>
        <w:t xml:space="preserve">Regardless of the nature and scope of the incident, Company’s response shall be based upon the following order of priorities, as applicable:</w:t>
      </w:r>
    </w:p>
    <w:p>
      <w:pPr>
        <w:numPr>
          <w:ilvl w:val="0"/>
          <w:numId w:val="1028"/>
        </w:numPr>
      </w:pPr>
      <w:r>
        <w:t xml:space="preserve">Protection of human life and safety;</w:t>
      </w:r>
    </w:p>
    <w:p>
      <w:pPr>
        <w:numPr>
          <w:ilvl w:val="0"/>
          <w:numId w:val="1028"/>
        </w:numPr>
      </w:pPr>
      <w:r>
        <w:t xml:space="preserve">Protection of PHI against unauthorized disclosure, destruction, or modification;</w:t>
      </w:r>
    </w:p>
    <w:p>
      <w:pPr>
        <w:numPr>
          <w:ilvl w:val="0"/>
          <w:numId w:val="1028"/>
        </w:numPr>
      </w:pPr>
      <w:r>
        <w:t xml:space="preserve">Prevention or mitigation of damage to Company’s systems and assets;</w:t>
      </w:r>
    </w:p>
    <w:p>
      <w:pPr>
        <w:numPr>
          <w:ilvl w:val="0"/>
          <w:numId w:val="1028"/>
        </w:numPr>
      </w:pPr>
      <w:r>
        <w:t xml:space="preserve">Containment of unauthorized access or activity within AWS and Aptible systems;</w:t>
      </w:r>
    </w:p>
    <w:p>
      <w:pPr>
        <w:numPr>
          <w:ilvl w:val="0"/>
          <w:numId w:val="1028"/>
        </w:numPr>
      </w:pPr>
      <w:r>
        <w:t xml:space="preserve">Preservation of security logs and records necessary for investigation;</w:t>
      </w:r>
    </w:p>
    <w:p>
      <w:pPr>
        <w:numPr>
          <w:ilvl w:val="0"/>
          <w:numId w:val="1028"/>
        </w:numPr>
      </w:pPr>
      <w:r>
        <w:t xml:space="preserve">Notification of any third parties that may be adversely affected by the event, provided that such notification shall not be made unless and until approved by General Counsel;</w:t>
      </w:r>
    </w:p>
    <w:p>
      <w:pPr>
        <w:numPr>
          <w:ilvl w:val="0"/>
          <w:numId w:val="1028"/>
        </w:numPr>
      </w:pPr>
      <w:r>
        <w:t xml:space="preserve">Minimizing disruption of Company’s computing resources and processes; and</w:t>
      </w:r>
    </w:p>
    <w:p>
      <w:pPr>
        <w:numPr>
          <w:ilvl w:val="0"/>
          <w:numId w:val="1028"/>
        </w:numPr>
      </w:pPr>
      <w:r>
        <w:t xml:space="preserve">Reporting the incident to applicable law enforcement agencies and insurance carriers, provided that such notification shall not be made unless and until approved by the Chief Legal Officer.</w:t>
      </w:r>
    </w:p>
    <w:p>
      <w:pPr>
        <w:numPr>
          <w:ilvl w:val="0"/>
          <w:numId w:val="1028"/>
        </w:numPr>
      </w:pPr>
      <w:r>
        <w:t xml:space="preserve">Containment.</w:t>
      </w:r>
    </w:p>
    <w:p>
      <w:pPr>
        <w:pStyle w:val="FirstParagraph"/>
      </w:pPr>
      <w:r>
        <w:t xml:space="preserve">As appropriate, the Chief Security Officer shall take reasonable steps to contain the AWS security incident. Such steps may include:</w:t>
      </w:r>
    </w:p>
    <w:p>
      <w:pPr>
        <w:numPr>
          <w:ilvl w:val="0"/>
          <w:numId w:val="1029"/>
        </w:numPr>
      </w:pPr>
      <w:r>
        <w:t xml:space="preserve">Disabling or restricting compromised AWS or Aptible users, roles, access keys, tokens, or credentials;</w:t>
      </w:r>
    </w:p>
    <w:p>
      <w:pPr>
        <w:numPr>
          <w:ilvl w:val="0"/>
          <w:numId w:val="1029"/>
        </w:numPr>
      </w:pPr>
      <w:r>
        <w:t xml:space="preserve">Rotating passwords, access keys, secrets, database credentials, or encryption keys;</w:t>
      </w:r>
    </w:p>
    <w:p>
      <w:pPr>
        <w:numPr>
          <w:ilvl w:val="0"/>
          <w:numId w:val="1029"/>
        </w:numPr>
      </w:pPr>
      <w:r>
        <w:t xml:space="preserve">Requiring additional authentication or MFA reset for affected accounts;</w:t>
      </w:r>
    </w:p>
    <w:p>
      <w:pPr>
        <w:numPr>
          <w:ilvl w:val="0"/>
          <w:numId w:val="1029"/>
        </w:numPr>
      </w:pPr>
      <w:r>
        <w:t xml:space="preserve">Removing unauthorized IAM policies, permissions, or resources;</w:t>
      </w:r>
    </w:p>
    <w:p>
      <w:pPr>
        <w:numPr>
          <w:ilvl w:val="0"/>
          <w:numId w:val="1029"/>
        </w:numPr>
      </w:pPr>
      <w:r>
        <w:t xml:space="preserve">Restricting public or unauthorized access to S3 buckets, databases, backups, logs, or other storage resources;</w:t>
      </w:r>
    </w:p>
    <w:p>
      <w:pPr>
        <w:numPr>
          <w:ilvl w:val="0"/>
          <w:numId w:val="1029"/>
        </w:numPr>
      </w:pPr>
      <w:r>
        <w:t xml:space="preserve">Enabling or restoring AWS logging and monitoring where disabled;</w:t>
      </w:r>
    </w:p>
    <w:p>
      <w:pPr>
        <w:numPr>
          <w:ilvl w:val="0"/>
          <w:numId w:val="1029"/>
        </w:numPr>
      </w:pPr>
      <w:r>
        <w:t xml:space="preserve">Isolating affected compute resources, containers, databases, or networks;</w:t>
      </w:r>
    </w:p>
    <w:p>
      <w:pPr>
        <w:numPr>
          <w:ilvl w:val="0"/>
          <w:numId w:val="1029"/>
        </w:numPr>
      </w:pPr>
      <w:r>
        <w:t xml:space="preserve">Restricting security group, firewall, or network access;</w:t>
      </w:r>
    </w:p>
    <w:p>
      <w:pPr>
        <w:numPr>
          <w:ilvl w:val="0"/>
          <w:numId w:val="1029"/>
        </w:numPr>
      </w:pPr>
      <w:r>
        <w:t xml:space="preserve">Taking snapshots or backups necessary to preserve evidence; and</w:t>
      </w:r>
    </w:p>
    <w:p>
      <w:pPr>
        <w:numPr>
          <w:ilvl w:val="0"/>
          <w:numId w:val="1029"/>
        </w:numPr>
      </w:pPr>
      <w:r>
        <w:t xml:space="preserve">Coordinating with third-party vendors, including hosting, infrastructure, monitoring, or security vendors, as necessary.</w:t>
      </w:r>
    </w:p>
    <w:p>
      <w:pPr>
        <w:numPr>
          <w:ilvl w:val="0"/>
          <w:numId w:val="1029"/>
        </w:numPr>
      </w:pPr>
      <w:r>
        <w:t xml:space="preserve">Investigation and Breach Review.</w:t>
      </w:r>
    </w:p>
    <w:p>
      <w:pPr>
        <w:pStyle w:val="Compact"/>
        <w:numPr>
          <w:ilvl w:val="1"/>
          <w:numId w:val="1030"/>
        </w:numPr>
      </w:pPr>
      <w:r>
        <w:t xml:space="preserve">The Chief Security Officer shall investigate the AWS security incident to determine:</w:t>
      </w:r>
    </w:p>
    <w:p>
      <w:pPr>
        <w:numPr>
          <w:ilvl w:val="0"/>
          <w:numId w:val="1029"/>
        </w:numPr>
      </w:pPr>
      <w:r>
        <w:t xml:space="preserve">The date and time of the incident and discovery;</w:t>
      </w:r>
    </w:p>
    <w:p>
      <w:pPr>
        <w:numPr>
          <w:ilvl w:val="0"/>
          <w:numId w:val="1029"/>
        </w:numPr>
      </w:pPr>
      <w:r>
        <w:t xml:space="preserve">The AWS and/or Aptible accounts, systems, services, and data affected;</w:t>
      </w:r>
    </w:p>
    <w:p>
      <w:pPr>
        <w:numPr>
          <w:ilvl w:val="0"/>
          <w:numId w:val="1029"/>
        </w:numPr>
      </w:pPr>
      <w:r>
        <w:t xml:space="preserve">Whether PHI was accessed, acquired, used, disclosed, altered, or destroyed;</w:t>
      </w:r>
    </w:p>
    <w:p>
      <w:pPr>
        <w:numPr>
          <w:ilvl w:val="0"/>
          <w:numId w:val="1029"/>
        </w:numPr>
      </w:pPr>
      <w:r>
        <w:t xml:space="preserve">The type and amount of PHI involved, if any;</w:t>
      </w:r>
    </w:p>
    <w:p>
      <w:pPr>
        <w:numPr>
          <w:ilvl w:val="0"/>
          <w:numId w:val="1029"/>
        </w:numPr>
      </w:pPr>
      <w:r>
        <w:t xml:space="preserve">The person or system responsible for the incident, if known;</w:t>
      </w:r>
    </w:p>
    <w:p>
      <w:pPr>
        <w:numPr>
          <w:ilvl w:val="0"/>
          <w:numId w:val="1029"/>
        </w:numPr>
      </w:pPr>
      <w:r>
        <w:t xml:space="preserve">Whether credentials, secrets, or access controls were compromised;</w:t>
      </w:r>
    </w:p>
    <w:p>
      <w:pPr>
        <w:numPr>
          <w:ilvl w:val="0"/>
          <w:numId w:val="1029"/>
        </w:numPr>
      </w:pPr>
      <w:r>
        <w:t xml:space="preserve">Whether logging or monitoring was disabled or altered;</w:t>
      </w:r>
    </w:p>
    <w:p>
      <w:pPr>
        <w:numPr>
          <w:ilvl w:val="0"/>
          <w:numId w:val="1029"/>
        </w:numPr>
      </w:pPr>
      <w:r>
        <w:t xml:space="preserve">Whether third parties or Business Associates were involved; and</w:t>
      </w:r>
    </w:p>
    <w:p>
      <w:pPr>
        <w:numPr>
          <w:ilvl w:val="0"/>
          <w:numId w:val="1029"/>
        </w:numPr>
      </w:pPr>
      <w:r>
        <w:t xml:space="preserve">What steps have been taken or should be taken to mitigate risk.</w:t>
      </w:r>
    </w:p>
    <w:p>
      <w:pPr>
        <w:pStyle w:val="Compact"/>
        <w:numPr>
          <w:ilvl w:val="1"/>
          <w:numId w:val="1031"/>
        </w:numPr>
      </w:pPr>
      <w:r>
        <w:t xml:space="preserve">If PHI may have been involved, the Chief Security Officer shall determine whether a Breach occurred and whether notification is required under Company’s Breach Notification Policy.</w:t>
      </w:r>
    </w:p>
    <w:p>
      <w:pPr>
        <w:numPr>
          <w:ilvl w:val="0"/>
          <w:numId w:val="1029"/>
        </w:numPr>
      </w:pPr>
      <w:r>
        <w:t xml:space="preserve">Remediation and Recovery.</w:t>
      </w:r>
    </w:p>
    <w:p>
      <w:pPr>
        <w:pStyle w:val="Compact"/>
        <w:numPr>
          <w:ilvl w:val="1"/>
          <w:numId w:val="1032"/>
        </w:numPr>
      </w:pPr>
      <w:r>
        <w:t xml:space="preserve">Following containment and investigation, Company shall take reasonable steps to remediate the incident and restore affected systems. Such steps may include:</w:t>
      </w:r>
    </w:p>
    <w:p>
      <w:pPr>
        <w:numPr>
          <w:ilvl w:val="0"/>
          <w:numId w:val="1029"/>
        </w:numPr>
      </w:pPr>
      <w:r>
        <w:t xml:space="preserve">Rebuilding affected systems from trusted sources;</w:t>
      </w:r>
    </w:p>
    <w:p>
      <w:pPr>
        <w:numPr>
          <w:ilvl w:val="0"/>
          <w:numId w:val="1029"/>
        </w:numPr>
      </w:pPr>
      <w:r>
        <w:t xml:space="preserve">Restoring data or systems from validated backups;</w:t>
      </w:r>
    </w:p>
    <w:p>
      <w:pPr>
        <w:numPr>
          <w:ilvl w:val="0"/>
          <w:numId w:val="1029"/>
        </w:numPr>
      </w:pPr>
      <w:r>
        <w:t xml:space="preserve">Patching or reconfiguring affected resources;</w:t>
      </w:r>
    </w:p>
    <w:p>
      <w:pPr>
        <w:numPr>
          <w:ilvl w:val="0"/>
          <w:numId w:val="1029"/>
        </w:numPr>
      </w:pPr>
      <w:r>
        <w:t xml:space="preserve">Removing unauthorized resources, software, code, or access;</w:t>
      </w:r>
    </w:p>
    <w:p>
      <w:pPr>
        <w:numPr>
          <w:ilvl w:val="0"/>
          <w:numId w:val="1029"/>
        </w:numPr>
      </w:pPr>
      <w:r>
        <w:t xml:space="preserve">Updating IAM policies, security groups, S3 policies, logging settings, or monitoring rules;</w:t>
      </w:r>
    </w:p>
    <w:p>
      <w:pPr>
        <w:numPr>
          <w:ilvl w:val="0"/>
          <w:numId w:val="1029"/>
        </w:numPr>
      </w:pPr>
      <w:r>
        <w:t xml:space="preserve">Reviewing and updating vendor access;</w:t>
      </w:r>
    </w:p>
    <w:p>
      <w:pPr>
        <w:numPr>
          <w:ilvl w:val="0"/>
          <w:numId w:val="1029"/>
        </w:numPr>
      </w:pPr>
      <w:r>
        <w:t xml:space="preserve">Re-training personnel, where appropriate; and</w:t>
      </w:r>
    </w:p>
    <w:p>
      <w:pPr>
        <w:numPr>
          <w:ilvl w:val="0"/>
          <w:numId w:val="1029"/>
        </w:numPr>
      </w:pPr>
      <w:r>
        <w:t xml:space="preserve">Implementing additional administrative, physical, or technical safeguards.</w:t>
      </w:r>
    </w:p>
    <w:p>
      <w:pPr>
        <w:pStyle w:val="Compact"/>
        <w:numPr>
          <w:ilvl w:val="1"/>
          <w:numId w:val="1033"/>
        </w:numPr>
      </w:pPr>
      <w:r>
        <w:t xml:space="preserve">The Chief Security Officer shall coordinate recovery efforts with Company personnel and third-party service providers as needed. Recovery activities shall be conducted in a manner designed to preserve PHI, restore business operations, and reduce the risk of recurrence.</w:t>
      </w:r>
    </w:p>
    <w:p>
      <w:pPr>
        <w:numPr>
          <w:ilvl w:val="0"/>
          <w:numId w:val="1029"/>
        </w:numPr>
      </w:pPr>
      <w:r>
        <w:t xml:space="preserve">Log.</w:t>
      </w:r>
    </w:p>
    <w:p>
      <w:pPr>
        <w:pStyle w:val="Compact"/>
        <w:numPr>
          <w:ilvl w:val="1"/>
          <w:numId w:val="1034"/>
        </w:numPr>
      </w:pPr>
      <w:r>
        <w:t xml:space="preserve">The Chief Security Officer shall be responsible for maintaining a written record of all reported AWS security incidents and the details and events relating to the response process, including, as applicable:</w:t>
      </w:r>
    </w:p>
    <w:p>
      <w:pPr>
        <w:numPr>
          <w:ilvl w:val="0"/>
          <w:numId w:val="1029"/>
        </w:numPr>
      </w:pPr>
      <w:r>
        <w:t xml:space="preserve">The type of incident;</w:t>
      </w:r>
    </w:p>
    <w:p>
      <w:pPr>
        <w:numPr>
          <w:ilvl w:val="0"/>
          <w:numId w:val="1029"/>
        </w:numPr>
      </w:pPr>
      <w:r>
        <w:t xml:space="preserve">The date of the incident;</w:t>
      </w:r>
    </w:p>
    <w:p>
      <w:pPr>
        <w:numPr>
          <w:ilvl w:val="0"/>
          <w:numId w:val="1029"/>
        </w:numPr>
      </w:pPr>
      <w:r>
        <w:t xml:space="preserve">The date the incident was reported to Chief Security Officer;</w:t>
      </w:r>
    </w:p>
    <w:p>
      <w:pPr>
        <w:numPr>
          <w:ilvl w:val="0"/>
          <w:numId w:val="1029"/>
        </w:numPr>
      </w:pPr>
      <w:r>
        <w:t xml:space="preserve">If applicable, the date the incident was reported to Company by its Business Associate;</w:t>
      </w:r>
    </w:p>
    <w:p>
      <w:pPr>
        <w:numPr>
          <w:ilvl w:val="0"/>
          <w:numId w:val="1029"/>
        </w:numPr>
      </w:pPr>
      <w:r>
        <w:t xml:space="preserve">The manner in which the incident was identified;</w:t>
      </w:r>
    </w:p>
    <w:p>
      <w:pPr>
        <w:numPr>
          <w:ilvl w:val="0"/>
          <w:numId w:val="1029"/>
        </w:numPr>
      </w:pPr>
      <w:r>
        <w:t xml:space="preserve">The AWS accounts, services, systems, and data involved;</w:t>
      </w:r>
    </w:p>
    <w:p>
      <w:pPr>
        <w:numPr>
          <w:ilvl w:val="0"/>
          <w:numId w:val="1029"/>
        </w:numPr>
      </w:pPr>
      <w:r>
        <w:t xml:space="preserve">Copies of relevant security audit logs and records;</w:t>
      </w:r>
    </w:p>
    <w:p>
      <w:pPr>
        <w:numPr>
          <w:ilvl w:val="0"/>
          <w:numId w:val="1029"/>
        </w:numPr>
      </w:pPr>
      <w:r>
        <w:t xml:space="preserve">All internal and external discussions, unless privileged;</w:t>
      </w:r>
    </w:p>
    <w:p>
      <w:pPr>
        <w:numPr>
          <w:ilvl w:val="0"/>
          <w:numId w:val="1029"/>
        </w:numPr>
      </w:pPr>
      <w:r>
        <w:t xml:space="preserve">All actions taken to contain, investigate, remediate, and recover from the incident;</w:t>
      </w:r>
    </w:p>
    <w:p>
      <w:pPr>
        <w:numPr>
          <w:ilvl w:val="0"/>
          <w:numId w:val="1029"/>
        </w:numPr>
      </w:pPr>
      <w:r>
        <w:t xml:space="preserve">Any actions taken to mitigate harm;</w:t>
      </w:r>
    </w:p>
    <w:p>
      <w:pPr>
        <w:numPr>
          <w:ilvl w:val="0"/>
          <w:numId w:val="1029"/>
        </w:numPr>
      </w:pPr>
      <w:r>
        <w:t xml:space="preserve">Any third-party, vendor, law enforcement, insurance, or regulatory notifications; and</w:t>
      </w:r>
    </w:p>
    <w:p>
      <w:pPr>
        <w:numPr>
          <w:ilvl w:val="0"/>
          <w:numId w:val="1029"/>
        </w:numPr>
      </w:pPr>
      <w:r>
        <w:t xml:space="preserve">Any corrective actions implemented to reduce the likelihood of a similar incident.</w:t>
      </w:r>
    </w:p>
    <w:p>
      <w:pPr>
        <w:numPr>
          <w:ilvl w:val="0"/>
          <w:numId w:val="1029"/>
        </w:numPr>
      </w:pPr>
      <w:r>
        <w:t xml:space="preserve">Post-Incident Review.</w:t>
      </w:r>
    </w:p>
    <w:p>
      <w:pPr>
        <w:pStyle w:val="Compact"/>
        <w:numPr>
          <w:ilvl w:val="1"/>
          <w:numId w:val="1035"/>
        </w:numPr>
      </w:pPr>
      <w:r>
        <w:t xml:space="preserve">Following resolution of an AWS security incident, the Chief Security Officer shall review the incident and determine whether additional safeguards, procedures, training, monitoring, or risk management activities are appropriate.</w:t>
      </w:r>
    </w:p>
    <w:p>
      <w:pPr>
        <w:pStyle w:val="Compact"/>
        <w:numPr>
          <w:ilvl w:val="1"/>
          <w:numId w:val="1035"/>
        </w:numPr>
      </w:pPr>
      <w:r>
        <w:t xml:space="preserve">Material findings shall be incorporated into Company’s risk management process and, where appropriate, reported to leadership.</w:t>
      </w:r>
    </w:p>
    <w:p>
      <w:pPr>
        <w:numPr>
          <w:ilvl w:val="0"/>
          <w:numId w:val="1029"/>
        </w:numPr>
      </w:pPr>
      <w:r>
        <w:t xml:space="preserve">Confidentiality.</w:t>
      </w:r>
    </w:p>
    <w:p>
      <w:pPr>
        <w:pStyle w:val="FirstParagraph"/>
      </w:pPr>
      <w:r>
        <w:t xml:space="preserve">Personnel shall not discuss any events pertaining to a specific AWS security incident with other individuals, including other personnel, except as permitted under this Policy or as directed by the Chief Security Officer, Chief Privacy Officer, Chief Compliance Officer, General Counsel, or Chief Executive Officer.</w:t>
      </w:r>
    </w:p>
    <w:bookmarkEnd w:id="48"/>
    <w:bookmarkStart w:id="49" w:name="iv.-references"/>
    <w:p>
      <w:pPr>
        <w:pStyle w:val="Heading3"/>
      </w:pPr>
      <w:r>
        <w:t xml:space="preserve">IV. References</w:t>
      </w:r>
    </w:p>
    <w:p>
      <w:pPr>
        <w:pStyle w:val="Compact"/>
        <w:numPr>
          <w:ilvl w:val="0"/>
          <w:numId w:val="1036"/>
        </w:numPr>
      </w:pPr>
      <w:r>
        <w:t xml:space="preserve">45 C.F.R. §§ 164.308(a)(5), 164.308(a)(6), 164.308(a)(7), 164.312, and 164.400-164.414</w:t>
      </w:r>
    </w:p>
    <w:p>
      <w:pPr>
        <w:pStyle w:val="Compact"/>
        <w:numPr>
          <w:ilvl w:val="0"/>
          <w:numId w:val="1036"/>
        </w:numPr>
      </w:pPr>
      <w:r>
        <w:t xml:space="preserve">Company Security Incident Management Policy</w:t>
      </w:r>
    </w:p>
    <w:p>
      <w:pPr>
        <w:pStyle w:val="Compact"/>
        <w:numPr>
          <w:ilvl w:val="0"/>
          <w:numId w:val="1036"/>
        </w:numPr>
      </w:pPr>
      <w:r>
        <w:t xml:space="preserve">Company Breach Notification Policy</w:t>
      </w:r>
    </w:p>
    <w:p>
      <w:pPr>
        <w:pStyle w:val="Compact"/>
        <w:numPr>
          <w:ilvl w:val="0"/>
          <w:numId w:val="1036"/>
        </w:numPr>
      </w:pPr>
      <w:r>
        <w:t xml:space="preserve">Company Contingency Planning Policy</w:t>
      </w:r>
    </w:p>
    <w:p>
      <w:pPr>
        <w:pStyle w:val="Compact"/>
        <w:numPr>
          <w:ilvl w:val="0"/>
          <w:numId w:val="1036"/>
        </w:numPr>
      </w:pPr>
      <w:r>
        <w:t xml:space="preserve">Company Safeguards Policy</w:t>
      </w:r>
    </w:p>
    <w:p>
      <w:pPr>
        <w:pStyle w:val="Compact"/>
        <w:numPr>
          <w:ilvl w:val="0"/>
          <w:numId w:val="1036"/>
        </w:numPr>
      </w:pPr>
      <w:r>
        <w:t xml:space="preserve">Company Encryption Policy</w:t>
      </w:r>
    </w:p>
    <w:p>
      <w:pPr>
        <w:pStyle w:val="Compact"/>
        <w:numPr>
          <w:ilvl w:val="0"/>
          <w:numId w:val="1036"/>
        </w:numPr>
      </w:pPr>
      <w:r>
        <w:t xml:space="preserve">Company Password Management Policy</w:t>
      </w:r>
    </w:p>
    <w:p>
      <w:pPr>
        <w:pStyle w:val="Compact"/>
        <w:numPr>
          <w:ilvl w:val="0"/>
          <w:numId w:val="1036"/>
        </w:numPr>
      </w:pPr>
      <w:r>
        <w:t xml:space="preserve">Company Remote Access Policy</w:t>
      </w:r>
    </w:p>
    <w:p>
      <w:pPr>
        <w:pStyle w:val="Compact"/>
        <w:numPr>
          <w:ilvl w:val="0"/>
          <w:numId w:val="1036"/>
        </w:numPr>
      </w:pPr>
      <w:r>
        <w:t xml:space="preserve">Company Risk Management Policy</w:t>
      </w:r>
    </w:p>
    <w:p>
      <w:r>
        <w:pict>
          <v:rect style="width:0;height:1.5pt" o:hralign="center" o:hrstd="t" o:hr="t"/>
        </w:pic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leginfo.legislature.ca.gov/faces/codes_displaySection.xhtml?lawCode=CIV&amp;sectionNum=1798.29" TargetMode="External" /><Relationship Type="http://schemas.openxmlformats.org/officeDocument/2006/relationships/hyperlink" Id="rId19" Target="http://leginfo.legislature.ca.gov/faces/codes_displaySection.xhtml?lawCode=CIV&amp;sectionNum=1798.82" TargetMode="External" /><Relationship Type="http://schemas.openxmlformats.org/officeDocument/2006/relationships/hyperlink" Id="rId20" Target="https://oag.ca.gov/privacy/databreach/reporting" TargetMode="External" /></Relationships>
</file>

<file path=word/_rels/footnotes.xml.rels><?xml version="1.0" encoding="UTF-8"?><Relationships xmlns="http://schemas.openxmlformats.org/package/2006/relationships"><Relationship Type="http://schemas.openxmlformats.org/officeDocument/2006/relationships/hyperlink" Id="rId18" Target="http://leginfo.legislature.ca.gov/faces/codes_displaySection.xhtml?lawCode=CIV&amp;sectionNum=1798.29" TargetMode="External" /><Relationship Type="http://schemas.openxmlformats.org/officeDocument/2006/relationships/hyperlink" Id="rId19" Target="http://leginfo.legislature.ca.gov/faces/codes_displaySection.xhtml?lawCode=CIV&amp;sectionNum=1798.82" TargetMode="External" /><Relationship Type="http://schemas.openxmlformats.org/officeDocument/2006/relationships/hyperlink" Id="rId20" Target="https://oag.ca.gov/privacy/databreach/repor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2026-05-28T16:56:08Z</dcterms:created>
  <dcterms:modified xsi:type="dcterms:W3CDTF">2026-05-28T16:56:08Z</dcterms:modified>
</cp:coreProperties>
</file>

<file path=docProps/custom.xml><?xml version="1.0" encoding="utf-8"?>
<Properties xmlns="http://schemas.openxmlformats.org/officeDocument/2006/custom-properties" xmlns:vt="http://schemas.openxmlformats.org/officeDocument/2006/docPropsVTypes"/>
</file>