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POLICY-VS-QUESTIONNAIRE-MAPPING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caee380c65dbd1528533f1f8896ca17ee9d476e"/>
    <w:p>
      <w:pPr>
        <w:pStyle w:val="Heading1"/>
      </w:pPr>
      <w:r>
        <w:t xml:space="preserve">Policy vs. ECH Questionnaire Coverage Matrix</w:t>
      </w:r>
    </w:p>
    <w:p>
      <w:pPr>
        <w:pStyle w:val="FirstParagraph"/>
      </w:pPr>
      <w:r>
        <w:t xml:space="preserve">This is the post-consolidation coverage matrix. It</w:t>
      </w:r>
      <w:r>
        <w:t xml:space="preserve"> </w:t>
      </w:r>
      <w:r>
        <w:rPr>
          <w:b/>
          <w:bCs/>
        </w:rPr>
        <w:t xml:space="preserve">supersedes</w:t>
      </w:r>
      <w:r>
        <w:t xml:space="preserve"> </w:t>
      </w:r>
      <w:r>
        <w:t xml:space="preserve">the prior version of this document, which was written against the legacy 24-file</w:t>
      </w:r>
      <w:r>
        <w:t xml:space="preserve"> </w:t>
      </w:r>
      <w:r>
        <w:rPr>
          <w:rStyle w:val="VerbatimChar"/>
        </w:rPr>
        <w:t xml:space="preserve">New Policy Docs/</w:t>
      </w:r>
      <w:r>
        <w:t xml:space="preserve"> </w:t>
      </w:r>
      <w:r>
        <w:t xml:space="preserve">layout. The repository now contains</w:t>
      </w:r>
      <w:r>
        <w:t xml:space="preserve"> </w:t>
      </w:r>
      <w:r>
        <w:rPr>
          <w:b/>
          <w:bCs/>
        </w:rPr>
        <w:t xml:space="preserve">10 thematic policies + 3 reference files</w:t>
      </w:r>
      <w:r>
        <w:t xml:space="preserve"> </w:t>
      </w:r>
      <w:r>
        <w:t xml:space="preserve">(glossary, platform matrix, patient-notice placeholder) plus the form templates under</w:t>
      </w:r>
      <w:r>
        <w:t xml:space="preserve"> </w:t>
      </w:r>
      <w:r>
        <w:rPr>
          <w:rStyle w:val="VerbatimChar"/>
        </w:rPr>
        <w:t xml:space="preserve">New Policy Docs/forms/</w:t>
      </w:r>
      <w:r>
        <w:t xml:space="preserve">. All 182 CSV rows are covered below, mapped against the active files only. Originals are preserved in</w:t>
      </w:r>
      <w:r>
        <w:t xml:space="preserve"> </w:t>
      </w:r>
      <w:r>
        <w:rPr>
          <w:rStyle w:val="VerbatimChar"/>
        </w:rPr>
        <w:t xml:space="preserve">New Policy Docs/_archive/</w:t>
      </w:r>
      <w:r>
        <w:t xml:space="preserve"> </w:t>
      </w:r>
      <w:r>
        <w:t xml:space="preserve">and are not cited here.</w:t>
      </w:r>
    </w:p>
    <w:p>
      <w:pPr>
        <w:pStyle w:val="BodyText"/>
      </w:pPr>
      <w:r>
        <w:t xml:space="preserve">Conventions: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 rating</w:t>
      </w:r>
      <w:r>
        <w:t xml:space="preserve"> </w:t>
      </w:r>
      <w:r>
        <w:t xml:space="preserve">is policy-document coverage only (does the org have a written, current policy on this?). Operational state is captured in the CSV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Action</w:t>
      </w:r>
      <w:r>
        <w:t xml:space="preserve"> </w:t>
      </w:r>
      <w:r>
        <w:t xml:space="preserve">means the topic is intentionally tracked as a TODO in</w:t>
      </w:r>
      <w:r>
        <w:t xml:space="preserve"> </w:t>
      </w:r>
      <w:hyperlink r:id="rId9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rather than</w:t>
      </w:r>
      <w:r>
        <w:t xml:space="preserve"> </w:t>
      </w:r>
      <w:r>
        <w:t xml:space="preserve">“covered”</w:t>
      </w:r>
      <w:r>
        <w:t xml:space="preserve"> </w:t>
      </w:r>
      <w:r>
        <w:t xml:space="preserve">by a policy clause; the rating distinguishes these from raw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gaps.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Out-of-scope</w:t>
      </w:r>
      <w:r>
        <w:t xml:space="preserve"> </w:t>
      </w:r>
      <w:r>
        <w:t xml:space="preserve">= the questionnaire item is N/A to Millie (e.g., PCI for a SAQ-A merchant, ESG for a women’s-health clinic) and the assessor will be answered N/A rather than receiving a policy.</w:t>
      </w:r>
    </w:p>
    <w:p>
      <w:pPr>
        <w:pStyle w:val="Compact"/>
        <w:numPr>
          <w:ilvl w:val="0"/>
          <w:numId w:val="1001"/>
        </w:numPr>
      </w:pPr>
      <w:r>
        <w:t xml:space="preserve">Row numbers reference the CSV (1-indexed; row 1 is the header).</w:t>
      </w:r>
    </w:p>
    <w:p>
      <w:pPr>
        <w:pStyle w:val="Compact"/>
        <w:numPr>
          <w:ilvl w:val="0"/>
          <w:numId w:val="1001"/>
        </w:numPr>
      </w:pPr>
      <w:r>
        <w:t xml:space="preserve">File paths are relative to the repo root unless prefixed</w:t>
      </w:r>
      <w:r>
        <w:t xml:space="preserve"> </w:t>
      </w:r>
      <w:r>
        <w:rPr>
          <w:rStyle w:val="VerbatimChar"/>
        </w:rPr>
        <w:t xml:space="preserve">New Policy Docs/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Section references use the headings as written in each policy (e.g.,</w:t>
      </w:r>
      <w:r>
        <w:t xml:space="preserve"> </w:t>
      </w:r>
      <w:r>
        <w:rPr>
          <w:rStyle w:val="VerbatimChar"/>
        </w:rPr>
        <w:t xml:space="preserve">§III.2</w:t>
      </w:r>
      <w:r>
        <w:t xml:space="preserve">,</w:t>
      </w:r>
      <w:r>
        <w:t xml:space="preserve"> </w:t>
      </w:r>
      <w:r>
        <w:rPr>
          <w:rStyle w:val="VerbatimChar"/>
        </w:rPr>
        <w:t xml:space="preserve">§4.7</w:t>
      </w:r>
      <w:r>
        <w:t xml:space="preserve">); section numbering is per the active file.</w:t>
      </w:r>
    </w:p>
    <w:p>
      <w:r>
        <w:pict>
          <v:rect style="width:0;height:1.5pt" o:hralign="center" o:hrstd="t" o:hr="t"/>
        </w:pict>
      </w:r>
    </w:p>
    <w:bookmarkStart w:id="17" w:name="coverage-matrix"/>
    <w:p>
      <w:pPr>
        <w:pStyle w:val="Heading2"/>
      </w:pPr>
      <w:r>
        <w:t xml:space="preserve">§1 — Coverage matrix</w:t>
      </w:r>
    </w:p>
    <w:bookmarkStart w:id="10" w:name="aws-questionnaire-rows-233"/>
    <w:p>
      <w:pPr>
        <w:pStyle w:val="Heading3"/>
      </w:pPr>
      <w:r>
        <w:t xml:space="preserve">1.1 AWS Questionnaire (rows 2–33)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Acct.1</w:t>
            </w:r>
          </w:p>
        </w:tc>
        <w:tc>
          <w:tcPr/>
          <w:p>
            <w:pPr>
              <w:pStyle w:val="Compact"/>
            </w:pPr>
            <w:r>
              <w:t xml:space="preserve">AWS Organizations used?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§1; CSV answer 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Architecture documented (single-account, no Orgs). Decision-of-record; not a remediation TODO.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Acct.2</w:t>
            </w:r>
          </w:p>
        </w:tc>
        <w:tc>
          <w:tcPr/>
          <w:p>
            <w:pPr>
              <w:pStyle w:val="Compact"/>
            </w:pPr>
            <w:r>
              <w:t xml:space="preserve">Separate accounts Dev/Stg/Prod?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Single AWS account stance documented; no separation requirement codified.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Acct.3</w:t>
            </w:r>
          </w:p>
        </w:tc>
        <w:tc>
          <w:tcPr/>
          <w:p>
            <w:pPr>
              <w:pStyle w:val="Compact"/>
            </w:pPr>
            <w:r>
              <w:t xml:space="preserve">Dedicated audit/logging account?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§5 (S3 dedicated backup account = Not in place)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Single-account posture stated as accepted risk.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Acct.4</w:t>
            </w:r>
          </w:p>
        </w:tc>
        <w:tc>
          <w:tcPr/>
          <w:p>
            <w:pPr>
              <w:pStyle w:val="Compact"/>
            </w:pPr>
            <w:r>
              <w:t xml:space="preserve">Shared root email alias?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(Q5)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Acct.5</w:t>
            </w:r>
          </w:p>
        </w:tc>
        <w:tc>
          <w:tcPr/>
          <w:p>
            <w:pPr>
              <w:pStyle w:val="Compact"/>
            </w:pPr>
            <w:r>
              <w:t xml:space="preserve">Root MFA on, no access keys?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(Q6);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now explicitly stated for the root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Acct.6</w:t>
            </w:r>
          </w:p>
        </w:tc>
        <w:tc>
          <w:tcPr/>
          <w:p>
            <w:pPr>
              <w:pStyle w:val="Compact"/>
            </w:pPr>
            <w:r>
              <w:t xml:space="preserve">Root used in last 7 days?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(Q7)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Use-case (GuardDuty enablement)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Acct.7</w:t>
            </w:r>
          </w:p>
        </w:tc>
        <w:tc>
          <w:tcPr/>
          <w:p>
            <w:pPr>
              <w:pStyle w:val="Compact"/>
            </w:pPr>
            <w:r>
              <w:t xml:space="preserve">SCPs in place?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Stated N/A because Orgs not 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Enc.1</w:t>
            </w:r>
          </w:p>
        </w:tc>
        <w:tc>
          <w:tcPr/>
          <w:p>
            <w:pPr>
              <w:pStyle w:val="Compact"/>
            </w:pPr>
            <w:r>
              <w:t xml:space="preserve">Encryption at rest for RDS/data stores?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§III.2.c (NIST SP 800-111);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At-rest standard now rescued into technical-safeguards.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Enc.2</w:t>
            </w:r>
          </w:p>
        </w:tc>
        <w:tc>
          <w:tcPr/>
          <w:p>
            <w:pPr>
              <w:pStyle w:val="Compact"/>
            </w:pPr>
            <w:r>
              <w:t xml:space="preserve">EC2 volume/snapshot encryption?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§III.2.c;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Volume encryption clause + small EC2 footprint statement.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IAM.1</w:t>
            </w:r>
          </w:p>
        </w:tc>
        <w:tc>
          <w:tcPr/>
          <w:p>
            <w:pPr>
              <w:pStyle w:val="Compact"/>
            </w:pPr>
            <w:r>
              <w:t xml:space="preserve">SAML SSO for IAM?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(TODO #12)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Migration to SSO tracked in TODO #12.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IAM.2</w:t>
            </w:r>
          </w:p>
        </w:tc>
        <w:tc>
          <w:tcPr/>
          <w:p>
            <w:pPr>
              <w:pStyle w:val="Compact"/>
            </w:pPr>
            <w:r>
              <w:t xml:space="preserve">Console IAM users exist?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§III.1.a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Acknowledged deviation; tracked TODO #12.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IAM.3</w:t>
            </w:r>
          </w:p>
        </w:tc>
        <w:tc>
          <w:tcPr/>
          <w:p>
            <w:pPr>
              <w:pStyle w:val="Compact"/>
            </w:pPr>
            <w:r>
              <w:t xml:space="preserve">Programmatic access keys exist?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(Q13)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Use-case and rotation cadence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IAM.4</w:t>
            </w:r>
          </w:p>
        </w:tc>
        <w:tc>
          <w:tcPr/>
          <w:p>
            <w:pPr>
              <w:pStyle w:val="Compact"/>
            </w:pPr>
            <w:r>
              <w:t xml:space="preserve">Keys unused &gt;90 days?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(Q14); TODO #17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One staging key tracked.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IAM.5</w:t>
            </w:r>
          </w:p>
        </w:tc>
        <w:tc>
          <w:tcPr/>
          <w:p>
            <w:pPr>
              <w:pStyle w:val="Compact"/>
            </w:pPr>
            <w:r>
              <w:t xml:space="preserve">Keys not rotated &gt;90 days?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(Q15)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90-day rotation policy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IAM.6</w:t>
            </w:r>
          </w:p>
        </w:tc>
        <w:tc>
          <w:tcPr/>
          <w:p>
            <w:pPr>
              <w:pStyle w:val="Compact"/>
            </w:pPr>
            <w:r>
              <w:t xml:space="preserve">Roles unused &gt;90 days?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(Q16); TODO #18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Snowflake-role review tracked.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IAM.7</w:t>
            </w:r>
          </w:p>
        </w:tc>
        <w:tc>
          <w:tcPr/>
          <w:p>
            <w:pPr>
              <w:pStyle w:val="Compact"/>
            </w:pPr>
            <w:r>
              <w:t xml:space="preserve">Wildcard admin / S3 / IAM access?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(Q17);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§III.1.a; TODO #14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Least-privilege principle stated; deviation acknowledged + quarterly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IAM.8</w:t>
            </w:r>
          </w:p>
        </w:tc>
        <w:tc>
          <w:tcPr/>
          <w:p>
            <w:pPr>
              <w:pStyle w:val="Compact"/>
            </w:pPr>
            <w:r>
              <w:t xml:space="preserve">RDS IAM auth?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 — RDS reached through Aptible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IAM.9</w:t>
            </w:r>
          </w:p>
        </w:tc>
        <w:tc>
          <w:tcPr/>
          <w:p>
            <w:pPr>
              <w:pStyle w:val="Compact"/>
            </w:pPr>
            <w:r>
              <w:t xml:space="preserve">Secrets Manager / SSM in use?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Aptible env vars + 1Password documented as approved stores; AWS-native stores noted as future-state.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Net.1</w:t>
            </w:r>
          </w:p>
        </w:tc>
        <w:tc>
          <w:tcPr/>
          <w:p>
            <w:pPr>
              <w:pStyle w:val="Compact"/>
            </w:pPr>
            <w:r>
              <w:t xml:space="preserve">SGs restrict non-HTTP inbound?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(Q20)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Net.2</w:t>
            </w:r>
          </w:p>
        </w:tc>
        <w:tc>
          <w:tcPr/>
          <w:p>
            <w:pPr>
              <w:pStyle w:val="Compact"/>
            </w:pPr>
            <w:r>
              <w:t xml:space="preserve">Private subnets?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(Q21); TODO #15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Public route table residue tracked.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Net.3</w:t>
            </w:r>
          </w:p>
        </w:tc>
        <w:tc>
          <w:tcPr/>
          <w:p>
            <w:pPr>
              <w:pStyle w:val="Compact"/>
            </w:pPr>
            <w:r>
              <w:t xml:space="preserve">RDS in private subnets?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(Q22)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Net.4</w:t>
            </w:r>
          </w:p>
        </w:tc>
        <w:tc>
          <w:tcPr/>
          <w:p>
            <w:pPr>
              <w:pStyle w:val="Compact"/>
            </w:pPr>
            <w:r>
              <w:t xml:space="preserve">Outbound SGs per VPC?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(Q23)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Net.5</w:t>
            </w:r>
          </w:p>
        </w:tc>
        <w:tc>
          <w:tcPr/>
          <w:p>
            <w:pPr>
              <w:pStyle w:val="Compact"/>
            </w:pPr>
            <w:r>
              <w:t xml:space="preserve">Open S3 buckets?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§5 (Q24)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 buckets open / no any-authenticated grants.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Net.6</w:t>
            </w:r>
          </w:p>
        </w:tc>
        <w:tc>
          <w:tcPr/>
          <w:p>
            <w:pPr>
              <w:pStyle w:val="Compact"/>
            </w:pPr>
            <w:r>
              <w:t xml:space="preserve">S3 block public access enabled?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§5 (Q25)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Det.1</w:t>
            </w:r>
          </w:p>
        </w:tc>
        <w:tc>
          <w:tcPr/>
          <w:p>
            <w:pPr>
              <w:pStyle w:val="Compact"/>
            </w:pPr>
            <w:r>
              <w:t xml:space="preserve">AWS Config in all regions?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§7 (Q26); TODO #16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Accepted risk pending assessor feedback.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Det.2</w:t>
            </w:r>
          </w:p>
        </w:tc>
        <w:tc>
          <w:tcPr/>
          <w:p>
            <w:pPr>
              <w:pStyle w:val="Compact"/>
            </w:pPr>
            <w:r>
              <w:t xml:space="preserve">CloudTrail data events on S3?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§5 (Q27); §7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Det.3</w:t>
            </w:r>
          </w:p>
        </w:tc>
        <w:tc>
          <w:tcPr/>
          <w:p>
            <w:pPr>
              <w:pStyle w:val="Compact"/>
            </w:pPr>
            <w:r>
              <w:t xml:space="preserve">GuardDuty / IDS enabled?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§7 (Q28)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Proc.1</w:t>
            </w:r>
          </w:p>
        </w:tc>
        <w:tc>
          <w:tcPr/>
          <w:p>
            <w:pPr>
              <w:pStyle w:val="Compact"/>
            </w:pPr>
            <w:r>
              <w:t xml:space="preserve">IaC (Terraform/CFN)?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§12;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Terraform standard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Proc.2</w:t>
            </w:r>
          </w:p>
        </w:tc>
        <w:tc>
          <w:tcPr/>
          <w:p>
            <w:pPr>
              <w:pStyle w:val="Compact"/>
            </w:pPr>
            <w:r>
              <w:t xml:space="preserve">Custom AMIs maintained via pipeline?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Millie does not maintain custom AMIs (Aptible-managed compute). Answer N/A to assessor; no policy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Proc.3</w:t>
            </w:r>
          </w:p>
        </w:tc>
        <w:tc>
          <w:tcPr/>
          <w:p>
            <w:pPr>
              <w:pStyle w:val="Compact"/>
            </w:pPr>
            <w:r>
              <w:t xml:space="preserve">AWS-specific IR plan tested?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§III.3 (AWS/cloud playbook);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§13–14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AWS playbook pointer + DR/IR cadence. Pre-existing</w:t>
            </w:r>
            <w:r>
              <w:t xml:space="preserve"> </w:t>
            </w:r>
            <w:r>
              <w:rPr>
                <w:rStyle w:val="VerbatimChar"/>
              </w:rPr>
              <w:t xml:space="preserve">AWS and Aptible Security Incident Management Policy.docx</w:t>
            </w:r>
            <w:r>
              <w:t xml:space="preserve"> </w:t>
            </w:r>
            <w:r>
              <w:t xml:space="preserve">not yet integrated — TODO.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Proc.4</w:t>
            </w:r>
          </w:p>
        </w:tc>
        <w:tc>
          <w:tcPr/>
          <w:p>
            <w:pPr>
              <w:pStyle w:val="Compact"/>
            </w:pPr>
            <w:r>
              <w:t xml:space="preserve">Backups in dedicated AWS acct?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§5 (Q32);</w:t>
            </w:r>
            <w:r>
              <w:t xml:space="preserve"> </w:t>
            </w: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§4.7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Single-account posture documented as accepted risk; multi-vendor resiliency clause covers backup vendor concentration.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Proc.5</w:t>
            </w:r>
          </w:p>
        </w:tc>
        <w:tc>
          <w:tcPr/>
          <w:p>
            <w:pPr>
              <w:pStyle w:val="Compact"/>
            </w:pPr>
            <w:r>
              <w:t xml:space="preserve">Secure remote access to servers/DBs?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 (Remote Access);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isd-it-risk-assessment-rows-3471"/>
    <w:p>
      <w:pPr>
        <w:pStyle w:val="Heading3"/>
      </w:pPr>
      <w:r>
        <w:t xml:space="preserve">1.2 ISD IT Risk Assessment (rows 34–71)</w:t>
      </w:r>
    </w:p>
    <w:p>
      <w:pPr>
        <w:pStyle w:val="FirstParagraph"/>
      </w:pPr>
      <w:r>
        <w:t xml:space="preserve">Project-intake questionnaire — most rows are project-context fields completed at intake. Rated</w:t>
      </w:r>
      <w:r>
        <w:t xml:space="preserve"> </w:t>
      </w:r>
      <w:r>
        <w:rPr>
          <w:rStyle w:val="VerbatimChar"/>
        </w:rPr>
        <w:t xml:space="preserve">Out-of-scope</w:t>
      </w:r>
      <w:r>
        <w:t xml:space="preserve"> </w:t>
      </w:r>
      <w:r>
        <w:t xml:space="preserve">where no policy is expected.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34–41</w:t>
            </w:r>
          </w:p>
        </w:tc>
        <w:tc>
          <w:tcPr/>
          <w:p>
            <w:pPr>
              <w:pStyle w:val="Compact"/>
            </w:pPr>
            <w:r>
              <w:t xml:space="preserve">Req.1–8</w:t>
            </w:r>
          </w:p>
        </w:tc>
        <w:tc>
          <w:tcPr/>
          <w:p>
            <w:pPr>
              <w:pStyle w:val="Compact"/>
            </w:pPr>
            <w:r>
              <w:t xml:space="preserve">Project context (objective, end-user, conversion, archive, training)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§1 (Planning &amp; Acquisition)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Project intake form, not a policy gap. Planning section covers the umbrella.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Svr.1</w:t>
            </w:r>
          </w:p>
        </w:tc>
        <w:tc>
          <w:tcPr/>
          <w:p>
            <w:pPr>
              <w:pStyle w:val="Compact"/>
            </w:pPr>
            <w:r>
              <w:t xml:space="preserve">Server infrastructure type?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Architecture overview answers this.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Net.1</w:t>
            </w:r>
          </w:p>
        </w:tc>
        <w:tc>
          <w:tcPr/>
          <w:p>
            <w:pPr>
              <w:pStyle w:val="Compact"/>
            </w:pPr>
            <w:r>
              <w:t xml:space="preserve">New port required?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§5 (Change Management);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Change-mgmt process now exists; covered.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Net.2</w:t>
            </w:r>
          </w:p>
        </w:tc>
        <w:tc>
          <w:tcPr/>
          <w:p>
            <w:pPr>
              <w:pStyle w:val="Compact"/>
            </w:pPr>
            <w:r>
              <w:t xml:space="preserve">New WAN circuit?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Cloud-native; no WAN circuits.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Net.3</w:t>
            </w:r>
          </w:p>
        </w:tc>
        <w:tc>
          <w:tcPr/>
          <w:p>
            <w:pPr>
              <w:pStyle w:val="Compact"/>
            </w:pPr>
            <w:r>
              <w:t xml:space="preserve">Site-to-site VPN?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 (Remote Access)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Policy covers user remote access via VPN; no site-to-site VPN in current architecture.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IAM.1</w:t>
            </w:r>
          </w:p>
        </w:tc>
        <w:tc>
          <w:tcPr/>
          <w:p>
            <w:pPr>
              <w:pStyle w:val="Compact"/>
            </w:pPr>
            <w:r>
              <w:t xml:space="preserve">Authentication method?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IAM.2</w:t>
            </w:r>
          </w:p>
        </w:tc>
        <w:tc>
          <w:tcPr/>
          <w:p>
            <w:pPr>
              <w:pStyle w:val="Compact"/>
            </w:pPr>
            <w:r>
              <w:t xml:space="preserve">MFA available?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§III.1.b;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§III.1.b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IAM.3</w:t>
            </w:r>
          </w:p>
        </w:tc>
        <w:tc>
          <w:tcPr/>
          <w:p>
            <w:pPr>
              <w:pStyle w:val="Compact"/>
            </w:pPr>
            <w:r>
              <w:t xml:space="preserve">Vendor remote access?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§III.4;</w:t>
            </w:r>
            <w:r>
              <w:t xml:space="preserve"> </w:t>
            </w: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Cyb.1</w:t>
            </w:r>
          </w:p>
        </w:tc>
        <w:tc>
          <w:tcPr/>
          <w:p>
            <w:pPr>
              <w:pStyle w:val="Compact"/>
            </w:pPr>
            <w:r>
              <w:t xml:space="preserve">Internet-accessible?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Cyb.2</w:t>
            </w:r>
          </w:p>
        </w:tc>
        <w:tc>
          <w:tcPr/>
          <w:p>
            <w:pPr>
              <w:pStyle w:val="Compact"/>
            </w:pPr>
            <w:r>
              <w:t xml:space="preserve">AV/security exclusions?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§III.B.3 (anti-malware required);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§III.4.b (up-to-date AV)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Anti-malware standard stated; no formal</w:t>
            </w:r>
            <w:r>
              <w:t xml:space="preserve"> </w:t>
            </w:r>
            <w:r>
              <w:t xml:space="preserve">“exclusions”</w:t>
            </w:r>
            <w:r>
              <w:t xml:space="preserve"> </w:t>
            </w:r>
            <w:r>
              <w:t xml:space="preserve">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Cyb.3</w:t>
            </w:r>
          </w:p>
        </w:tc>
        <w:tc>
          <w:tcPr/>
          <w:p>
            <w:pPr>
              <w:pStyle w:val="Compact"/>
            </w:pPr>
            <w:r>
              <w:t xml:space="preserve">Vuln-scan exclusions?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Scope of scanning defined;</w:t>
            </w:r>
            <w:r>
              <w:t xml:space="preserve"> </w:t>
            </w:r>
            <w:r>
              <w:t xml:space="preserve">“exclusions”</w:t>
            </w:r>
            <w:r>
              <w:t xml:space="preserve"> </w:t>
            </w:r>
            <w:r>
              <w:t xml:space="preserve">not enumerated.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Cyb.4</w:t>
            </w:r>
          </w:p>
        </w:tc>
        <w:tc>
          <w:tcPr/>
          <w:p>
            <w:pPr>
              <w:pStyle w:val="Compact"/>
            </w:pPr>
            <w:r>
              <w:t xml:space="preserve">Vendor doing vuln scan/remediation?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§4.2;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Dependency scanning + vendor patch SLA.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Cyb.5</w:t>
            </w:r>
          </w:p>
        </w:tc>
        <w:tc>
          <w:tcPr/>
          <w:p>
            <w:pPr>
              <w:pStyle w:val="Compact"/>
            </w:pPr>
            <w:r>
              <w:t xml:space="preserve">Transactional emails?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§III.A.2;</w:t>
            </w:r>
            <w:r>
              <w:t xml:space="preserve"> </w:t>
            </w: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§6 (Marketing)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Email standards exist; transactional-email infra (Sendgrid) listed in platform matrix.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Cyb.6</w:t>
            </w:r>
          </w:p>
        </w:tc>
        <w:tc>
          <w:tcPr/>
          <w:p>
            <w:pPr>
              <w:pStyle w:val="Compact"/>
            </w:pPr>
            <w:r>
              <w:t xml:space="preserve">Dedicated host/IP vs shared?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Operational config; assessor answered from platform matrix (Sendgrid/Twilio).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Cyb.7</w:t>
            </w:r>
          </w:p>
        </w:tc>
        <w:tc>
          <w:tcPr/>
          <w:p>
            <w:pPr>
              <w:pStyle w:val="Compact"/>
            </w:pPr>
            <w:r>
              <w:t xml:space="preserve">DMARC configured?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Not addressed in any policy; suggest adding a TODO for email-auth standards.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Int.1</w:t>
            </w:r>
          </w:p>
        </w:tc>
        <w:tc>
          <w:tcPr/>
          <w:p>
            <w:pPr>
              <w:pStyle w:val="Compact"/>
            </w:pPr>
            <w:r>
              <w:t xml:space="preserve">API/interface changes?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§5 (Change Management)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57–63</w:t>
            </w:r>
          </w:p>
        </w:tc>
        <w:tc>
          <w:tcPr/>
          <w:p>
            <w:pPr>
              <w:pStyle w:val="Compact"/>
            </w:pPr>
            <w:r>
              <w:t xml:space="preserve">EUC.1–7</w:t>
            </w:r>
          </w:p>
        </w:tc>
        <w:tc>
          <w:tcPr/>
          <w:p>
            <w:pPr>
              <w:pStyle w:val="Compact"/>
            </w:pPr>
            <w:r>
              <w:t xml:space="preserve">End-user 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(whole);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§III.3 (Workstation Use)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AUP + BYOD + Workstation Use now cover the EUC questions.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CE.1</w:t>
            </w:r>
          </w:p>
        </w:tc>
        <w:tc>
          <w:tcPr/>
          <w:p>
            <w:pPr>
              <w:pStyle w:val="Compact"/>
            </w:pPr>
            <w:r>
              <w:t xml:space="preserve">IoMT?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Not applicable to Millie.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Tel.1</w:t>
            </w:r>
          </w:p>
        </w:tc>
        <w:tc>
          <w:tcPr/>
          <w:p>
            <w:pPr>
              <w:pStyle w:val="Compact"/>
            </w:pPr>
            <w:r>
              <w:t xml:space="preserve">Telecom?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§III.1.3 (telephone protocols)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Voice/voicemail protocols only; no broader telecom standard.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66–68</w:t>
            </w:r>
          </w:p>
        </w:tc>
        <w:tc>
          <w:tcPr/>
          <w:p>
            <w:pPr>
              <w:pStyle w:val="Compact"/>
            </w:pPr>
            <w:r>
              <w:t xml:space="preserve">TE.1–3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Project intake.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VS.1</w:t>
            </w:r>
          </w:p>
        </w:tc>
        <w:tc>
          <w:tcPr/>
          <w:p>
            <w:pPr>
              <w:pStyle w:val="Compact"/>
            </w:pPr>
            <w:r>
              <w:t xml:space="preserve">Existing ECH engagements?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Project intake.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70–71</w:t>
            </w:r>
          </w:p>
        </w:tc>
        <w:tc>
          <w:tcPr/>
          <w:p>
            <w:pPr>
              <w:pStyle w:val="Compact"/>
            </w:pPr>
            <w:r>
              <w:t xml:space="preserve">Oth.1–2</w:t>
            </w:r>
          </w:p>
        </w:tc>
        <w:tc>
          <w:tcPr/>
          <w:p>
            <w:pPr>
              <w:pStyle w:val="Compact"/>
            </w:pPr>
            <w:r>
              <w:t xml:space="preserve">Outstanding issues / resolution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Project intake.</w:t>
            </w:r>
          </w:p>
        </w:tc>
      </w:tr>
    </w:tbl>
    <w:bookmarkEnd w:id="11"/>
    <w:bookmarkStart w:id="12" w:name="owasp-top-10-rows-7281"/>
    <w:p>
      <w:pPr>
        <w:pStyle w:val="Heading3"/>
      </w:pPr>
      <w:r>
        <w:t xml:space="preserve">1.3 OWASP Top 10 (rows 72–81)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Access control enforcement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 (Access Control);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§III.1.b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RBAC, least privilege, unique IDs, MFA.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Sensitive data extra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§III.2.c (at-rest); §III.2.d (password storage hashing — argon2id/bcrypt)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now Full. Operational implementation tracked in TODO #1 (Critical).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Injection defenses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§2.1 (Secure Coding Standard — OWASP ASVS; parameterized queries)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Secure SDLC w/ AppSec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§2.2 (AppSec Role); §2 generally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AppSec role formalized; TODO #6 covers any expansion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Hardening 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§11 (Hardening Baseline);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§III.1.h (default-creds)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CIS Benchmarks referenced; hardened base images.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Vuln scanning / patch mgmt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§6.2 (Patch SLA Critical=7d/High=30d); §6.3 (Scanning);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Policy in place; GitHub upgrade operational item tracked in TODO #2 (Critical).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Auth / session token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§III.1.g (Session &amp; Token Management)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now Full. Operational implementation tracked in TODO #3 (Critical).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Code &amp; infra integrity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§2.3 (Code Integrity &amp; Signed Artifacts); §6.1 (IaC)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Logging/monitoring failures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§III.7 (Logging, Monitoring &amp; Alert Cadence);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Operational fine-tuning tracked in TODO #7 (High).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 defenses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§10 (SSRF &amp; Outbound Network Defenses)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Operational hardening tracked in TODO #8 (High).</w:t>
            </w:r>
          </w:p>
        </w:tc>
      </w:tr>
    </w:tbl>
    <w:bookmarkEnd w:id="12"/>
    <w:bookmarkStart w:id="13" w:name="pci-dss-assessment-form-rows-8291"/>
    <w:p>
      <w:pPr>
        <w:pStyle w:val="Heading3"/>
      </w:pPr>
      <w:r>
        <w:t xml:space="preserve">1.4 PCI DSS Assessment Form (rows 82–91)</w:t>
      </w:r>
    </w:p>
    <w:p>
      <w:pPr>
        <w:pStyle w:val="FirstParagraph"/>
      </w:pPr>
      <w:r>
        <w:t xml:space="preserve">Millie does not process, store, or transmit cardholder data — payment processing is outsourced. Answer the whole questionnaire as</w:t>
      </w:r>
      <w:r>
        <w:t xml:space="preserve"> </w:t>
      </w:r>
      <w:r>
        <w:t xml:space="preserve">“Out-of-scope per SAQ-A”</w:t>
      </w:r>
      <w:r>
        <w:t xml:space="preserve"> </w:t>
      </w:r>
      <w:r>
        <w:t xml:space="preserve">rather than authoring PCI policies.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Gen.1</w:t>
            </w:r>
          </w:p>
        </w:tc>
        <w:tc>
          <w:tcPr/>
          <w:p>
            <w:pPr>
              <w:pStyle w:val="Compact"/>
            </w:pPr>
            <w:r>
              <w:t xml:space="preserve">Process/store/transmit card data?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Assessor answer: No (SAQ-A merchant; payments outsourced). Verify with Finance.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Gen.2</w:t>
            </w:r>
          </w:p>
        </w:tc>
        <w:tc>
          <w:tcPr/>
          <w:p>
            <w:pPr>
              <w:pStyle w:val="Compact"/>
            </w:pPr>
            <w:r>
              <w:t xml:space="preserve">PCI DSS assessment in 12 mo?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 (SAQ-A).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Gen.3</w:t>
            </w:r>
          </w:p>
        </w:tc>
        <w:tc>
          <w:tcPr/>
          <w:p>
            <w:pPr>
              <w:pStyle w:val="Compact"/>
            </w:pPr>
            <w:r>
              <w:t xml:space="preserve">Passing grade?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 (SAQ-A).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Gen.4</w:t>
            </w:r>
          </w:p>
        </w:tc>
        <w:tc>
          <w:tcPr/>
          <w:p>
            <w:pPr>
              <w:pStyle w:val="Compact"/>
            </w:pPr>
            <w:r>
              <w:t xml:space="preserve">Card data encrypted?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N/A; no card data stored.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Gen.5</w:t>
            </w:r>
          </w:p>
        </w:tc>
        <w:tc>
          <w:tcPr/>
          <w:p>
            <w:pPr>
              <w:pStyle w:val="Compact"/>
            </w:pPr>
            <w:r>
              <w:t xml:space="preserve">Restricted access to card data?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Gen.6</w:t>
            </w:r>
          </w:p>
        </w:tc>
        <w:tc>
          <w:tcPr/>
          <w:p>
            <w:pPr>
              <w:pStyle w:val="Compact"/>
            </w:pPr>
            <w:r>
              <w:t xml:space="preserve">Access control to card data?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Gen.7</w:t>
            </w:r>
          </w:p>
        </w:tc>
        <w:tc>
          <w:tcPr/>
          <w:p>
            <w:pPr>
              <w:pStyle w:val="Compact"/>
            </w:pPr>
            <w:r>
              <w:t xml:space="preserve">Patches up to date?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§6.2 (Patch SLA)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Not PCI-scoped but the patch SLA does cover Company systems.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Gen.8</w:t>
            </w:r>
          </w:p>
        </w:tc>
        <w:tc>
          <w:tcPr/>
          <w:p>
            <w:pPr>
              <w:pStyle w:val="Compact"/>
            </w:pPr>
            <w:r>
              <w:t xml:space="preserve">Firewall?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(Cloudflare WAF + cloud SGs)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Cloud-native firewalling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Gen.9</w:t>
            </w:r>
          </w:p>
        </w:tc>
        <w:tc>
          <w:tcPr/>
          <w:p>
            <w:pPr>
              <w:pStyle w:val="Compact"/>
            </w:pPr>
            <w:r>
              <w:t xml:space="preserve">Periodic password changes?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 (no forced rotation; NIST 800-63B aligned)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Intentional policy choice; documented but does not match PCI’s periodic-rotation expectation.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Gen.10</w:t>
            </w:r>
          </w:p>
        </w:tc>
        <w:tc>
          <w:tcPr/>
          <w:p>
            <w:pPr>
              <w:pStyle w:val="Compact"/>
            </w:pPr>
            <w:r>
              <w:t xml:space="preserve">Complex &amp; unique passwords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§III.1.c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sig-lite-2025-rows-92180"/>
    <w:p>
      <w:pPr>
        <w:pStyle w:val="Heading3"/>
      </w:pPr>
      <w:r>
        <w:t xml:space="preserve">1.5 SIG Lite 2025 (rows 92–180)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A.1</w:t>
            </w:r>
          </w:p>
        </w:tc>
        <w:tc>
          <w:tcPr/>
          <w:p>
            <w:pPr>
              <w:pStyle w:val="Compact"/>
            </w:pPr>
            <w:r>
              <w:t xml:space="preserve">ERM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§III.3 (Enterprise Risk Management)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None; ERM framing now explicit.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B.1</w:t>
            </w:r>
          </w:p>
        </w:tc>
        <w:tc>
          <w:tcPr/>
          <w:p>
            <w:pPr>
              <w:pStyle w:val="Compact"/>
            </w:pPr>
            <w:r>
              <w:t xml:space="preserve">TPRM incl 4th/Nth parties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§1; §3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B.2</w:t>
            </w:r>
          </w:p>
        </w:tc>
        <w:tc>
          <w:tcPr/>
          <w:p>
            <w:pPr>
              <w:pStyle w:val="Compact"/>
            </w:pPr>
            <w:r>
              <w:t xml:space="preserve">Contractual flow-down to subs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Cyber risk mgmt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C.4</w:t>
            </w:r>
          </w:p>
        </w:tc>
        <w:tc>
          <w:tcPr/>
          <w:p>
            <w:pPr>
              <w:pStyle w:val="Compact"/>
            </w:pPr>
            <w:r>
              <w:t xml:space="preserve">Risk assessment 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D.1</w:t>
            </w:r>
          </w:p>
        </w:tc>
        <w:tc>
          <w:tcPr/>
          <w:p>
            <w:pPr>
              <w:pStyle w:val="Compact"/>
            </w:pPr>
            <w:r>
              <w:t xml:space="preserve">Asset mgmt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§III.5 (Device &amp; Media — IT-004 rescued);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 (buried in privacy-policy).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D.2</w:t>
            </w:r>
          </w:p>
        </w:tc>
        <w:tc>
          <w:tcPr/>
          <w:p>
            <w:pPr>
              <w:pStyle w:val="Compac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§III.A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new file closes the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D.3</w:t>
            </w:r>
          </w:p>
        </w:tc>
        <w:tc>
          <w:tcPr/>
          <w:p>
            <w:pPr>
              <w:pStyle w:val="Compact"/>
            </w:pPr>
            <w:r>
              <w:t xml:space="preserve">Records retention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§III.6 (Records Retention Schedule table)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schedule by record type now in place. Email retention still</w:t>
            </w:r>
            <w:r>
              <w:t xml:space="preserve"> </w:t>
            </w:r>
            <w:r>
              <w:t xml:space="preserve">“TBD”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E.1</w:t>
            </w:r>
          </w:p>
        </w:tc>
        <w:tc>
          <w:tcPr/>
          <w:p>
            <w:pPr>
              <w:pStyle w:val="Compact"/>
            </w:pPr>
            <w:r>
              <w:t xml:space="preserve">HR 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§III.7 (HR Security and Sanctions Anchor)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Anchor section + canonical sanctions clause; standalone HR security policies still under development per §III.7.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E.3</w:t>
            </w:r>
          </w:p>
        </w:tc>
        <w:tc>
          <w:tcPr/>
          <w:p>
            <w:pPr>
              <w:pStyle w:val="Compact"/>
            </w:pPr>
            <w:r>
              <w:t xml:space="preserve">Employee performance process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HR operational; not a security-repo policy.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F.1</w:t>
            </w:r>
          </w:p>
        </w:tc>
        <w:tc>
          <w:tcPr/>
          <w:p>
            <w:pPr>
              <w:pStyle w:val="Compact"/>
            </w:pPr>
            <w:r>
              <w:t xml:space="preserve">Physical security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CSV task owner Terese — facility-specific implementation tracked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G.1</w:t>
            </w:r>
          </w:p>
        </w:tc>
        <w:tc>
          <w:tcPr/>
          <w:p>
            <w:pPr>
              <w:pStyle w:val="Compact"/>
            </w:pPr>
            <w:r>
              <w:t xml:space="preserve">IT Ops policies aligned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(whole);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G.2</w:t>
            </w:r>
          </w:p>
        </w:tc>
        <w:tc>
          <w:tcPr/>
          <w:p>
            <w:pPr>
              <w:pStyle w:val="Compact"/>
            </w:pPr>
            <w:r>
              <w:t xml:space="preserve">Change Management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§5 (Change Management)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G.3</w:t>
            </w:r>
          </w:p>
        </w:tc>
        <w:tc>
          <w:tcPr/>
          <w:p>
            <w:pPr>
              <w:pStyle w:val="Compact"/>
            </w:pPr>
            <w:r>
              <w:t xml:space="preserve">Security req’s for new 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§1, §2, §3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H.1</w:t>
            </w:r>
          </w:p>
        </w:tc>
        <w:tc>
          <w:tcPr/>
          <w:p>
            <w:pPr>
              <w:pStyle w:val="Compact"/>
            </w:pPr>
            <w:r>
              <w:t xml:space="preserve">Access Control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§III.1;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§III.1.b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H.2</w:t>
            </w:r>
          </w:p>
        </w:tc>
        <w:tc>
          <w:tcPr/>
          <w:p>
            <w:pPr>
              <w:pStyle w:val="Compact"/>
            </w:pPr>
            <w:r>
              <w:t xml:space="preserve">Password policy 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§III.1.c–g (construction, mobile passcodes, lockout, sessions, storage)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Apps process scoped 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question; no policy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I.2</w:t>
            </w:r>
          </w:p>
        </w:tc>
        <w:tc>
          <w:tcPr/>
          <w:p>
            <w:pPr>
              <w:pStyle w:val="Compact"/>
            </w:pPr>
            <w:r>
              <w:t xml:space="preserve">App development performed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I.3</w:t>
            </w:r>
          </w:p>
        </w:tc>
        <w:tc>
          <w:tcPr/>
          <w:p>
            <w:pPr>
              <w:pStyle w:val="Compact"/>
            </w:pPr>
            <w:r>
              <w:t xml:space="preserve">Web site/app hosted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J.1</w:t>
            </w:r>
          </w:p>
        </w:tc>
        <w:tc>
          <w:tcPr/>
          <w:p>
            <w:pPr>
              <w:pStyle w:val="Compact"/>
            </w:pPr>
            <w:r>
              <w:t xml:space="preserve">Cybersecurity IR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J.4</w:t>
            </w:r>
          </w:p>
        </w:tc>
        <w:tc>
          <w:tcPr/>
          <w:p>
            <w:pPr>
              <w:pStyle w:val="Compact"/>
            </w:pPr>
            <w:r>
              <w:t xml:space="preserve">IR plan w/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§III.1, §III.2 (severity tiers)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J.5</w:t>
            </w:r>
          </w:p>
        </w:tc>
        <w:tc>
          <w:tcPr/>
          <w:p>
            <w:pPr>
              <w:pStyle w:val="Compact"/>
            </w:pPr>
            <w:r>
              <w:t xml:space="preserve">Event review methodology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§III.7 (cadence + thresholds);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J.11</w:t>
            </w:r>
          </w:p>
        </w:tc>
        <w:tc>
          <w:tcPr/>
          <w:p>
            <w:pPr>
              <w:pStyle w:val="Compact"/>
            </w:pPr>
            <w:r>
              <w:t xml:space="preserve">Outsourced IR (MSSP)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§III.6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  <w:r>
              <w:t xml:space="preserve"> </w:t>
            </w:r>
            <w:r>
              <w:t xml:space="preserve">“no MSSP”</w:t>
            </w:r>
            <w:r>
              <w:t xml:space="preserve"> </w:t>
            </w:r>
            <w:r>
              <w:t xml:space="preserve">statement now on the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J.14</w:t>
            </w:r>
          </w:p>
        </w:tc>
        <w:tc>
          <w:tcPr/>
          <w:p>
            <w:pPr>
              <w:pStyle w:val="Compact"/>
            </w:pPr>
            <w:r>
              <w:t xml:space="preserve">Incident docs tamper-protected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§III.4 (Tamper-Evident Incident Log)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K.1</w:t>
            </w:r>
          </w:p>
        </w:tc>
        <w:tc>
          <w:tcPr/>
          <w:p>
            <w:pPr>
              <w:pStyle w:val="Compact"/>
            </w:pPr>
            <w:r>
              <w:t xml:space="preserve">Business Resilience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 (Contingency Planning)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K.2</w:t>
            </w:r>
          </w:p>
        </w:tc>
        <w:tc>
          <w:tcPr/>
          <w:p>
            <w:pPr>
              <w:pStyle w:val="Compact"/>
            </w:pPr>
            <w:r>
              <w:t xml:space="preserve">DR exercise/testing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§III.4.6 (DR Testing Program)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Cadence + last-test-date tracking. Operational test execution tracked in TODO #9 (High).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K.3</w:t>
            </w:r>
          </w:p>
        </w:tc>
        <w:tc>
          <w:tcPr/>
          <w:p>
            <w:pPr>
              <w:pStyle w:val="Compact"/>
            </w:pPr>
            <w:r>
              <w:t xml:space="preserve">Critical 3P dependencies?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K.4</w:t>
            </w:r>
          </w:p>
        </w:tc>
        <w:tc>
          <w:tcPr/>
          <w:p>
            <w:pPr>
              <w:pStyle w:val="Compact"/>
            </w:pPr>
            <w:r>
              <w:t xml:space="preserve">Pandemic plan?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Appendix A (Pandemic/Infectious Disease Plan, with A.9 = active COVID-19 implementation)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 CSV-marked NO is now superseded. Staff-guidance sub-gap tracked in TODO Other Outstanding Follow-ups.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K.5</w:t>
            </w:r>
          </w:p>
        </w:tc>
        <w:tc>
          <w:tcPr/>
          <w:p>
            <w:pPr>
              <w:pStyle w:val="Compact"/>
            </w:pPr>
            <w:r>
              <w:t xml:space="preserve">Offsite backups?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K.6</w:t>
            </w:r>
          </w:p>
        </w:tc>
        <w:tc>
          <w:tcPr/>
          <w:p>
            <w:pPr>
              <w:pStyle w:val="Compact"/>
            </w:pPr>
            <w:r>
              <w:t xml:space="preserve">Operational risk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§III.3 (ERM) + §III.4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Partial; ERM scope extends beyond HIPAA.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K.7</w:t>
            </w:r>
          </w:p>
        </w:tc>
        <w:tc>
          <w:tcPr/>
          <w:p>
            <w:pPr>
              <w:pStyle w:val="Compact"/>
            </w:pPr>
            <w:r>
              <w:t xml:space="preserve">BCP procedures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 (4.4 DR procedures; 4.5 Emergency Operations)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K.11</w:t>
            </w:r>
          </w:p>
        </w:tc>
        <w:tc>
          <w:tcPr/>
          <w:p>
            <w:pPr>
              <w:pStyle w:val="Compact"/>
            </w:pPr>
            <w:r>
              <w:t xml:space="preserve">Data retention policy/schedule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§III.6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Same source as D.3 row 99.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K.30</w:t>
            </w:r>
          </w:p>
        </w:tc>
        <w:tc>
          <w:tcPr/>
          <w:p>
            <w:pPr>
              <w:pStyle w:val="Compact"/>
            </w:pPr>
            <w:r>
              <w:t xml:space="preserve">Multi-vendor resiliency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§III.4.7 (Multi-Vendor Resiliency and Single-Vendor Risk Acceptance)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 Risk-acceptance documented for Aptible/AWS/Cloudflare.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L.1</w:t>
            </w:r>
          </w:p>
        </w:tc>
        <w:tc>
          <w:tcPr/>
          <w:p>
            <w:pPr>
              <w:pStyle w:val="Compact"/>
            </w:pPr>
            <w:r>
              <w:t xml:space="preserve">Regulatory compliance procedures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§III.1, §III.9 (Compliance &amp; Ethics)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L.2</w:t>
            </w:r>
          </w:p>
        </w:tc>
        <w:tc>
          <w:tcPr/>
          <w:p>
            <w:pPr>
              <w:pStyle w:val="Compact"/>
            </w:pPr>
            <w:r>
              <w:t xml:space="preserve">Customer-facing website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L.3</w:t>
            </w:r>
          </w:p>
        </w:tc>
        <w:tc>
          <w:tcPr/>
          <w:p>
            <w:pPr>
              <w:pStyle w:val="Compact"/>
            </w:pPr>
            <w:r>
              <w:t xml:space="preserve">Antitrust policy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N/A for Millie.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L.4</w:t>
            </w:r>
          </w:p>
        </w:tc>
        <w:tc>
          <w:tcPr/>
          <w:p>
            <w:pPr>
              <w:pStyle w:val="Compact"/>
            </w:pPr>
            <w:r>
              <w:t xml:space="preserve">Compliance &amp; ethics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§III.9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Pointer/anchor exists; standalone Code of Conduct flagged TBD within §III.9.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L.5</w:t>
            </w:r>
          </w:p>
        </w:tc>
        <w:tc>
          <w:tcPr/>
          <w:p>
            <w:pPr>
              <w:pStyle w:val="Compact"/>
            </w:pPr>
            <w:r>
              <w:t xml:space="preserve">Cyber compliance procedures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(whole);</w:t>
            </w:r>
            <w:r>
              <w:t xml:space="preserve"> </w:t>
            </w: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§III.7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L.6</w:t>
            </w:r>
          </w:p>
        </w:tc>
        <w:tc>
          <w:tcPr/>
          <w:p>
            <w:pPr>
              <w:pStyle w:val="Compact"/>
            </w:pPr>
            <w:r>
              <w:t xml:space="preserve">Fraud detection/prevention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§III.9 (fraud reporting channel)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Channel exists; no standalone fraud-prevention program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M.1</w:t>
            </w:r>
          </w:p>
        </w:tc>
        <w:tc>
          <w:tcPr/>
          <w:p>
            <w:pPr>
              <w:pStyle w:val="Compact"/>
            </w:pPr>
            <w:r>
              <w:t xml:space="preserve">Endpoints handle scoped 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M.1.3</w:t>
            </w:r>
          </w:p>
        </w:tc>
        <w:tc>
          <w:tcPr/>
          <w:p>
            <w:pPr>
              <w:pStyle w:val="Compact"/>
            </w:pPr>
            <w:r>
              <w:t xml:space="preserve">MDM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§III.C (MDM)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 MDM vendor selection tracked in TODO #4 (Critical).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M.1.5</w:t>
            </w:r>
          </w:p>
        </w:tc>
        <w:tc>
          <w:tcPr/>
          <w:p>
            <w:pPr>
              <w:pStyle w:val="Compact"/>
            </w:pPr>
            <w:r>
              <w:t xml:space="preserve">Non-company devices on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§III.B (BYOD)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M.1.6</w:t>
            </w:r>
          </w:p>
        </w:tc>
        <w:tc>
          <w:tcPr/>
          <w:p>
            <w:pPr>
              <w:pStyle w:val="Compact"/>
            </w:pPr>
            <w:r>
              <w:t xml:space="preserve">BYOD mobile w/ scoped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§III.B; §III.D (Personal-vs-Company separation); §III.E (Lost/Stolen)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M.3</w:t>
            </w:r>
          </w:p>
        </w:tc>
        <w:tc>
          <w:tcPr/>
          <w:p>
            <w:pPr>
              <w:pStyle w:val="Compact"/>
            </w:pPr>
            <w:r>
              <w:t xml:space="preserve">(blank)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CSV row empty.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N.1</w:t>
            </w:r>
          </w:p>
        </w:tc>
        <w:tc>
          <w:tcPr/>
          <w:p>
            <w:pPr>
              <w:pStyle w:val="Compact"/>
            </w:pPr>
            <w:r>
              <w:t xml:space="preserve">Secure network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N.2</w:t>
            </w:r>
          </w:p>
        </w:tc>
        <w:tc>
          <w:tcPr/>
          <w:p>
            <w:pPr>
              <w:pStyle w:val="Compact"/>
            </w:pPr>
            <w:r>
              <w:t xml:space="preserve">Network Security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N.3</w:t>
            </w:r>
          </w:p>
        </w:tc>
        <w:tc>
          <w:tcPr/>
          <w:p>
            <w:pPr>
              <w:pStyle w:val="Compact"/>
            </w:pPr>
            <w:r>
              <w:t xml:space="preserve">External connections terminate at firewall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(Cloudflare + cloud SGs)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N.4</w:t>
            </w:r>
          </w:p>
        </w:tc>
        <w:tc>
          <w:tcPr/>
          <w:p>
            <w:pPr>
              <w:pStyle w:val="Compact"/>
            </w:pPr>
            <w:r>
              <w:t xml:space="preserve">Network device patching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§8, §9;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§6.2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N.5</w:t>
            </w:r>
          </w:p>
        </w:tc>
        <w:tc>
          <w:tcPr/>
          <w:p>
            <w:pPr>
              <w:pStyle w:val="Compact"/>
            </w:pPr>
            <w:r>
              <w:t xml:space="preserve">Remote access policy approved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N.7</w:t>
            </w:r>
          </w:p>
        </w:tc>
        <w:tc>
          <w:tcPr/>
          <w:p>
            <w:pPr>
              <w:pStyle w:val="Compact"/>
            </w:pPr>
            <w:r>
              <w:t xml:space="preserve">NIDS/NIPS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§7 (GuardDuty stance)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N.8</w:t>
            </w:r>
          </w:p>
        </w:tc>
        <w:tc>
          <w:tcPr/>
          <w:p>
            <w:pPr>
              <w:pStyle w:val="Compact"/>
            </w:pPr>
            <w:r>
              <w:t xml:space="preserve">DMZ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§4 (cloud-native DMZ equivalent)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N.9</w:t>
            </w:r>
          </w:p>
        </w:tc>
        <w:tc>
          <w:tcPr/>
          <w:p>
            <w:pPr>
              <w:pStyle w:val="Compact"/>
            </w:pPr>
            <w:r>
              <w:t xml:space="preserve">Wireless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§8 (Wireless)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N.11</w:t>
            </w:r>
          </w:p>
        </w:tc>
        <w:tc>
          <w:tcPr/>
          <w:p>
            <w:pPr>
              <w:pStyle w:val="Compact"/>
            </w:pPr>
            <w:r>
              <w:t xml:space="preserve">Network device baselines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§8, §11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N.12</w:t>
            </w:r>
          </w:p>
        </w:tc>
        <w:tc>
          <w:tcPr/>
          <w:p>
            <w:pPr>
              <w:pStyle w:val="Compact"/>
            </w:pPr>
            <w:r>
              <w:t xml:space="preserve">Default passwords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§III.1.h;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146–158</w:t>
            </w:r>
          </w:p>
        </w:tc>
        <w:tc>
          <w:tcPr/>
          <w:p>
            <w:pPr>
              <w:pStyle w:val="Compact"/>
            </w:pPr>
            <w:r>
              <w:t xml:space="preserve">O.1–13</w:t>
            </w:r>
          </w:p>
        </w:tc>
        <w:tc>
          <w:tcPr/>
          <w:p>
            <w:pPr>
              <w:pStyle w:val="Compact"/>
            </w:pPr>
            <w:r>
              <w:t xml:space="preserve">ESG: env, hazards, biodiversity, modern slavery, ethics, H&amp;S, community, DEI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Per CONSOLIDATION §7.4: answer</w:t>
            </w:r>
            <w:r>
              <w:t xml:space="preserve"> </w:t>
            </w:r>
            <w:r>
              <w:t xml:space="preserve">“Not formally documented.”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O.14</w:t>
            </w:r>
          </w:p>
        </w:tc>
        <w:tc>
          <w:tcPr/>
          <w:p>
            <w:pPr>
              <w:pStyle w:val="Compact"/>
            </w:pPr>
            <w:r>
              <w:t xml:space="preserve">Ethical sourcing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Same as 146–158.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P.1</w:t>
            </w:r>
          </w:p>
        </w:tc>
        <w:tc>
          <w:tcPr/>
          <w:p>
            <w:pPr>
              <w:pStyle w:val="Compact"/>
            </w:pPr>
            <w:r>
              <w:t xml:space="preserve">PII collection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P.2</w:t>
            </w:r>
          </w:p>
        </w:tc>
        <w:tc>
          <w:tcPr/>
          <w:p>
            <w:pPr>
              <w:pStyle w:val="Compact"/>
            </w:pPr>
            <w:r>
              <w:t xml:space="preserve">PII privacy policy (NPP)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Docs/PATIENT-NOTICE-TODO.md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Patient-facing NPP still TBD. Internal</w:t>
            </w:r>
            <w:r>
              <w:t xml:space="preserve"> </w:t>
            </w: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exists but is NOT a §164.520 NPP.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P.3</w:t>
            </w:r>
          </w:p>
        </w:tc>
        <w:tc>
          <w:tcPr/>
          <w:p>
            <w:pPr>
              <w:pStyle w:val="Compact"/>
            </w:pPr>
            <w:r>
              <w:t xml:space="preserve">Formal privacy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(whole);</w:t>
            </w:r>
            <w:r>
              <w:t xml:space="preserve"> </w:t>
            </w: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(whole);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P.4</w:t>
            </w:r>
          </w:p>
        </w:tc>
        <w:tc>
          <w:tcPr/>
          <w:p>
            <w:pPr>
              <w:pStyle w:val="Compact"/>
            </w:pPr>
            <w:r>
              <w:t xml:space="preserve">Privacy training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§IV (canonical Training &amp; Awareness Program)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P.5</w:t>
            </w:r>
          </w:p>
        </w:tc>
        <w:tc>
          <w:tcPr/>
          <w:p>
            <w:pPr>
              <w:pStyle w:val="Compact"/>
            </w:pPr>
            <w:r>
              <w:t xml:space="preserve">Minimum necessary / need-to-know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§III.1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P.6</w:t>
            </w:r>
          </w:p>
        </w:tc>
        <w:tc>
          <w:tcPr/>
          <w:p>
            <w:pPr>
              <w:pStyle w:val="Compact"/>
            </w:pPr>
            <w:r>
              <w:t xml:space="preserve">Internet-facing app collecting client 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Affirmative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P.8</w:t>
            </w:r>
          </w:p>
        </w:tc>
        <w:tc>
          <w:tcPr/>
          <w:p>
            <w:pPr>
              <w:pStyle w:val="Compact"/>
            </w:pPr>
            <w:r>
              <w:t xml:space="preserve">Data governance 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P.9</w:t>
            </w:r>
          </w:p>
        </w:tc>
        <w:tc>
          <w:tcPr/>
          <w:p>
            <w:pPr>
              <w:pStyle w:val="Compact"/>
            </w:pPr>
            <w:r>
              <w:t xml:space="preserve">Privacy incident detection/reporting (GLBA)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HIPAA breach covered; GLBA is N/A for Millie (not a financial institution).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P.10</w:t>
            </w:r>
          </w:p>
        </w:tc>
        <w:tc>
          <w:tcPr/>
          <w:p>
            <w:pPr>
              <w:pStyle w:val="Compact"/>
            </w:pPr>
            <w:r>
              <w:t xml:space="preserve">4th/Nth-party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P.11</w:t>
            </w:r>
          </w:p>
        </w:tc>
        <w:tc>
          <w:tcPr/>
          <w:p>
            <w:pPr>
              <w:pStyle w:val="Compact"/>
            </w:pPr>
            <w:r>
              <w:t xml:space="preserve">Privacy role w/ accountability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§III.2.a (Privacy Officer);</w:t>
            </w:r>
            <w:r>
              <w:t xml:space="preserve"> </w:t>
            </w:r>
            <w:r>
              <w:rPr>
                <w:rStyle w:val="VerbatimChar"/>
              </w:rPr>
              <w:t xml:space="preserve">hipaa-definitions.md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P.12</w:t>
            </w:r>
          </w:p>
        </w:tc>
        <w:tc>
          <w:tcPr/>
          <w:p>
            <w:pPr>
              <w:pStyle w:val="Compact"/>
            </w:pPr>
            <w:r>
              <w:t xml:space="preserve">Registration info accuracy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Likely N/A (terminology aligns with EU regulatory authority registration).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R.1</w:t>
            </w:r>
          </w:p>
        </w:tc>
        <w:tc>
          <w:tcPr/>
          <w:p>
            <w:pPr>
              <w:pStyle w:val="Compact"/>
            </w:pPr>
            <w:r>
              <w:t xml:space="preserve">AI legal/regulatory awareness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ai-and-ml-governance.md</w:t>
            </w:r>
            <w:r>
              <w:t xml:space="preserve"> </w:t>
            </w:r>
            <w:r>
              <w:t xml:space="preserve">§III.a; §VI (references HHS OCR AI guidance)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R.2</w:t>
            </w:r>
          </w:p>
        </w:tc>
        <w:tc>
          <w:tcPr/>
          <w:p>
            <w:pPr>
              <w:pStyle w:val="Compact"/>
            </w:pPr>
            <w:r>
              <w:t xml:space="preserve">Trustworthy AI characteristics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ai-and-ml-governance.md</w:t>
            </w:r>
            <w:r>
              <w:t xml:space="preserve"> </w:t>
            </w:r>
            <w:r>
              <w:t xml:space="preserve">§III.c (clinical AI), §III.f (prohibited uses), §III.g (transparency)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R.4</w:t>
            </w:r>
          </w:p>
        </w:tc>
        <w:tc>
          <w:tcPr/>
          <w:p>
            <w:pPr>
              <w:pStyle w:val="Compact"/>
            </w:pPr>
            <w:r>
              <w:t xml:space="preserve">AI risk mgmt 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ai-and-ml-governance.md</w:t>
            </w:r>
            <w:r>
              <w:t xml:space="preserve"> </w:t>
            </w:r>
            <w:r>
              <w:t xml:space="preserve">§III.e (review cadence — quarterly + annual)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R.5</w:t>
            </w:r>
          </w:p>
        </w:tc>
        <w:tc>
          <w:tcPr/>
          <w:p>
            <w:pPr>
              <w:pStyle w:val="Compact"/>
            </w:pPr>
            <w:r>
              <w:t xml:space="preserve">AI system inventory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ai-and-ml-governance.md</w:t>
            </w:r>
            <w:r>
              <w:t xml:space="preserve"> </w:t>
            </w:r>
            <w:r>
              <w:t xml:space="preserve">§III.a, §III.e;</w:t>
            </w:r>
            <w:r>
              <w:t xml:space="preserve"> </w:t>
            </w:r>
            <w:r>
              <w:rPr>
                <w:rStyle w:val="VerbatimChar"/>
              </w:rPr>
              <w:t xml:space="preserve">platform-and-access-matrix.md</w:t>
            </w:r>
            <w:r>
              <w:t xml:space="preserve"> </w:t>
            </w:r>
            <w:r>
              <w:t xml:space="preserve">(AI Platforms section)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S.1</w:t>
            </w:r>
          </w:p>
        </w:tc>
        <w:tc>
          <w:tcPr/>
          <w:p>
            <w:pPr>
              <w:pStyle w:val="Compact"/>
            </w:pPr>
            <w:r>
              <w:t xml:space="preserve">Supplier access control flow-down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§3, §4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S.32</w:t>
            </w:r>
          </w:p>
        </w:tc>
        <w:tc>
          <w:tcPr/>
          <w:p>
            <w:pPr>
              <w:pStyle w:val="Compact"/>
            </w:pPr>
            <w:r>
              <w:t xml:space="preserve">C-SCRM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 (C-SCRM)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S.57</w:t>
            </w:r>
          </w:p>
        </w:tc>
        <w:tc>
          <w:tcPr/>
          <w:p>
            <w:pPr>
              <w:pStyle w:val="Compact"/>
            </w:pPr>
            <w:r>
              <w:t xml:space="preserve">Media protection in SDLC supply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§4.1, §4.3 (SBOM);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§7 (NIST SP 800-88)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S.61</w:t>
            </w:r>
          </w:p>
        </w:tc>
        <w:tc>
          <w:tcPr/>
          <w:p>
            <w:pPr>
              <w:pStyle w:val="Compact"/>
            </w:pPr>
            <w:r>
              <w:t xml:space="preserve">C-SCRM integrated in security planning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§4;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§III.1.i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S.80</w:t>
            </w:r>
          </w:p>
        </w:tc>
        <w:tc>
          <w:tcPr/>
          <w:p>
            <w:pPr>
              <w:pStyle w:val="Compact"/>
            </w:pPr>
            <w:r>
              <w:t xml:space="preserve">Personnel responsibilities for SCRM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 (Security Officer owns C-SCRM); §III.7 in Governance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S.100</w:t>
            </w:r>
          </w:p>
        </w:tc>
        <w:tc>
          <w:tcPr/>
          <w:p>
            <w:pPr>
              <w:pStyle w:val="Compact"/>
            </w:pPr>
            <w:r>
              <w:t xml:space="preserve">System/comms protection in SCRM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§4;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Previously None.</w:t>
            </w:r>
          </w:p>
        </w:tc>
      </w:tr>
    </w:tbl>
    <w:bookmarkEnd w:id="14"/>
    <w:bookmarkStart w:id="15" w:name="insurances-row-181"/>
    <w:p>
      <w:pPr>
        <w:pStyle w:val="Heading3"/>
      </w:pPr>
      <w:r>
        <w:t xml:space="preserve">1.6 Insurances (row 181)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Ins.1</w:t>
            </w:r>
          </w:p>
        </w:tc>
        <w:tc>
          <w:tcPr/>
          <w:p>
            <w:pPr>
              <w:pStyle w:val="Compact"/>
            </w:pPr>
            <w:r>
              <w:t xml:space="preserve">Cyber Liability / Data Privacy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§III.8 (Assurance Program — cyber liability);</w:t>
            </w:r>
            <w:r>
              <w:t xml:space="preserve"> </w:t>
            </w: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§III.7.4;</w:t>
            </w:r>
            <w:r>
              <w:t xml:space="preserve"> </w:t>
            </w: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§III.4.4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Policies reference carrier; the actual insurance certificate must still be attached to the ECH submission as evidence (no policy clause can supply that).</w:t>
            </w:r>
          </w:p>
        </w:tc>
      </w:tr>
    </w:tbl>
    <w:bookmarkEnd w:id="15"/>
    <w:bookmarkStart w:id="16" w:name="security-audits-rows-182183"/>
    <w:p>
      <w:pPr>
        <w:pStyle w:val="Heading3"/>
      </w:pPr>
      <w:r>
        <w:t xml:space="preserve">1.7 Security Audits (rows 182–183)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 ref</w:t>
            </w:r>
          </w:p>
        </w:tc>
        <w:tc>
          <w:tcPr/>
          <w:p>
            <w:pPr>
              <w:pStyle w:val="Compact"/>
            </w:pPr>
            <w:r>
              <w:t xml:space="preserve">Question (abbrev)</w:t>
            </w:r>
          </w:p>
        </w:tc>
        <w:tc>
          <w:tcPr/>
          <w:p>
            <w:pPr>
              <w:pStyle w:val="Compact"/>
            </w:pPr>
            <w:r>
              <w:t xml:space="preserve">Covering policy + section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Aud.1</w:t>
            </w:r>
          </w:p>
        </w:tc>
        <w:tc>
          <w:tcPr/>
          <w:p>
            <w:pPr>
              <w:pStyle w:val="Compact"/>
            </w:pPr>
            <w:r>
              <w:t xml:space="preserve">Penetration Testing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§III.8 (annual external pentest commitment)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Policy commits to annual pentest; actual report must be in</w:t>
            </w:r>
            <w:r>
              <w:t xml:space="preserve"> </w:t>
            </w:r>
            <w:r>
              <w:rPr>
                <w:rStyle w:val="VerbatimChar"/>
              </w:rPr>
              <w:t xml:space="preserve">assurance/</w:t>
            </w:r>
            <w:r>
              <w:t xml:space="preserve"> </w:t>
            </w:r>
            <w:r>
              <w:t xml:space="preserve">folder before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Aud.2</w:t>
            </w:r>
          </w:p>
        </w:tc>
        <w:tc>
          <w:tcPr/>
          <w:p>
            <w:pPr>
              <w:pStyle w:val="Compact"/>
            </w:pPr>
            <w:r>
              <w:t xml:space="preserve">General Security Audit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§III.8 (internal audit + SOC 2/HITRUST stance TBD)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SOC 2/HITRUST status documented as TBD; internal control assessment cadence stated.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coverage-summary"/>
    <w:p>
      <w:pPr>
        <w:pStyle w:val="Heading2"/>
      </w:pPr>
      <w:r>
        <w:t xml:space="preserve">§2 — Coverage summary</w:t>
      </w:r>
    </w:p>
    <w:bookmarkStart w:id="18" w:name="overall-counts-182-rows"/>
    <w:p>
      <w:pPr>
        <w:pStyle w:val="Heading3"/>
      </w:pPr>
      <w:r>
        <w:t xml:space="preserve">2.1 Overall counts (182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Action (tracked in TODO.md / PATIENT-NOTICE-TODO.md)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Out-of-scope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No rows are rated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The closest things to an unaddressed gap are:</w:t>
      </w:r>
      <w:r>
        <w:t xml:space="preserve"> </w:t>
      </w:r>
      <w:r>
        <w:rPr>
          <w:b/>
          <w:bCs/>
        </w:rPr>
        <w:t xml:space="preserve">CSV row 55 (DMARC configured)</w:t>
      </w:r>
      <w:r>
        <w:t xml:space="preserve"> </w:t>
      </w:r>
      <w:r>
        <w:t xml:space="preserve">— rated</w:t>
      </w:r>
      <w:r>
        <w:t xml:space="preserve"> </w:t>
      </w:r>
      <w:r>
        <w:rPr>
          <w:rStyle w:val="VerbatimChar"/>
        </w:rPr>
        <w:t xml:space="preserve">Open Action</w:t>
      </w:r>
      <w:r>
        <w:t xml:space="preserve"> </w:t>
      </w:r>
      <w:r>
        <w:t xml:space="preserve">here because no current policy addresses it, but it is not yet in TODO.md and should be added; and the operational follow-ups already enumerated in TODO.md (rows 73, 77, 78, 132–134, etc., which are policy-Full but operationally open).</w:t>
      </w:r>
    </w:p>
    <w:bookmarkEnd w:id="18"/>
    <w:bookmarkStart w:id="19" w:name="per-questionnaire-breakdown"/>
    <w:p>
      <w:pPr>
        <w:pStyle w:val="Heading3"/>
      </w:pPr>
      <w:r>
        <w:t xml:space="preserve">2.2 Per-questionnaire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Questionnaire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t xml:space="preserve">Out-of-scope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Questionnaire</w:t>
            </w:r>
          </w:p>
        </w:tc>
        <w:tc>
          <w:tcPr/>
          <w:p>
            <w:pPr>
              <w:pStyle w:val="Compact"/>
            </w:pPr>
            <w:r>
              <w:t xml:space="preserve">32 (rows 2–33)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 IT Risk Assessment</w:t>
            </w:r>
          </w:p>
        </w:tc>
        <w:tc>
          <w:tcPr/>
          <w:p>
            <w:pPr>
              <w:pStyle w:val="Compact"/>
            </w:pPr>
            <w:r>
              <w:t xml:space="preserve">38 (rows 34–71)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10 (rows 72–81)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 DSS</w:t>
            </w:r>
          </w:p>
        </w:tc>
        <w:tc>
          <w:tcPr/>
          <w:p>
            <w:pPr>
              <w:pStyle w:val="Compact"/>
            </w:pPr>
            <w:r>
              <w:t xml:space="preserve">10 (rows 82–91)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Lite 2025</w:t>
            </w:r>
          </w:p>
        </w:tc>
        <w:tc>
          <w:tcPr/>
          <w:p>
            <w:pPr>
              <w:pStyle w:val="Compact"/>
            </w:pPr>
            <w:r>
              <w:t xml:space="preserve">89 (rows 92–180)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Insurances</w:t>
            </w:r>
          </w:p>
        </w:tc>
        <w:tc>
          <w:tcPr/>
          <w:p>
            <w:pPr>
              <w:pStyle w:val="Compact"/>
            </w:pPr>
            <w:r>
              <w:t xml:space="preserve">1 (row 181)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2 (rows 182–183)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Wireless/Misc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movement-vs-the-prior-mapping"/>
    <w:p>
      <w:pPr>
        <w:pStyle w:val="Heading3"/>
      </w:pPr>
      <w:r>
        <w:t xml:space="preserve">2.3 Movement vs the prior mapping</w:t>
      </w:r>
    </w:p>
    <w:p>
      <w:pPr>
        <w:pStyle w:val="FirstParagraph"/>
      </w:pPr>
      <w:r>
        <w:t xml:space="preserve">The previous mapping was authored against the 24-file pre-consolidation layout. Net swings on this pass (selected highlights):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AWS Questionnaire</w:t>
      </w:r>
      <w:r>
        <w:t xml:space="preserve"> </w:t>
      </w:r>
      <w:r>
        <w:t xml:space="preserve">— 7 rows promoted from Partial/None to Full (Q5, Q6, Q9, Q10, Q20, Q22–25), the rest absorbed into the new</w:t>
      </w:r>
      <w:r>
        <w:t xml:space="preserve"> </w:t>
      </w:r>
      <w:r>
        <w:rPr>
          <w:rStyle w:val="VerbatimChar"/>
        </w:rPr>
        <w:t xml:space="preserve">network-and-cloud-security.md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 Lite §N (Network Security)</w:t>
      </w:r>
      <w:r>
        <w:t xml:space="preserve"> </w:t>
      </w:r>
      <w:r>
        <w:t xml:space="preserve">— every previously-None row (N.1, N.2, N.3, N.7, N.8, N.9, N.11) is now Full via</w:t>
      </w:r>
      <w:r>
        <w:t xml:space="preserve"> </w:t>
      </w:r>
      <w:r>
        <w:rPr>
          <w:rStyle w:val="VerbatimChar"/>
        </w:rPr>
        <w:t xml:space="preserve">network-and-cloud-security.md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 Lite §M (Endpoint Security)</w:t>
      </w:r>
      <w:r>
        <w:t xml:space="preserve"> </w:t>
      </w:r>
      <w:r>
        <w:t xml:space="preserve">— M.1.3 / M.1.5 / M.1.6 (the Critical BYOD/MDM gaps) moved from None/Partial to Full via</w:t>
      </w:r>
      <w:r>
        <w:t xml:space="preserve"> </w:t>
      </w:r>
      <w:r>
        <w:rPr>
          <w:rStyle w:val="VerbatimChar"/>
        </w:rPr>
        <w:t xml:space="preserve">acceptable-use-and-byod.md</w:t>
      </w:r>
      <w:r>
        <w:t xml:space="preserve">. Operational MDM vendor selection still tracked in TODO #4.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 Lite §R (Artificial Intelligence)</w:t>
      </w:r>
      <w:r>
        <w:t xml:space="preserve"> </w:t>
      </w:r>
      <w:r>
        <w:t xml:space="preserve">— all four rows (R.1, R.2, R.4, R.5) moved from None to Full via</w:t>
      </w:r>
      <w:r>
        <w:t xml:space="preserve"> </w:t>
      </w:r>
      <w:r>
        <w:rPr>
          <w:rStyle w:val="VerbatimChar"/>
        </w:rPr>
        <w:t xml:space="preserve">ai-and-ml-governance.md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 Lite §S (Supply Chain)</w:t>
      </w:r>
      <w:r>
        <w:t xml:space="preserve"> </w:t>
      </w:r>
      <w:r>
        <w:t xml:space="preserve">— all six rows (S.1, S.32, S.57, S.61, S.80, S.100) moved from None/Partial to Full via</w:t>
      </w:r>
      <w:r>
        <w:t xml:space="preserve"> </w:t>
      </w:r>
      <w:r>
        <w:rPr>
          <w:rStyle w:val="VerbatimChar"/>
        </w:rPr>
        <w:t xml:space="preserve">vendor-and-business-associates.md</w:t>
      </w:r>
      <w:r>
        <w:t xml:space="preserve"> </w:t>
      </w:r>
      <w:r>
        <w:t xml:space="preserve">§4.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 K.2/K.4/K.30</w:t>
      </w:r>
      <w:r>
        <w:t xml:space="preserve"> </w:t>
      </w:r>
      <w:r>
        <w:t xml:space="preserve">— DR testing program, pandemic plan, and multi-vendor resiliency moved from None to Full in</w:t>
      </w:r>
      <w:r>
        <w:t xml:space="preserve"> </w:t>
      </w:r>
      <w:r>
        <w:rPr>
          <w:rStyle w:val="VerbatimChar"/>
        </w:rPr>
        <w:t xml:space="preserve">operational-safeguards.md</w:t>
      </w:r>
      <w:r>
        <w:t xml:space="preserve"> </w:t>
      </w:r>
      <w:r>
        <w:t xml:space="preserve">§III.4.6–4.8 + Appendix 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OWASP A02/A07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Remediate=Yes</w:t>
      </w:r>
      <w:r>
        <w:t xml:space="preserve">) moved from Partial to Full via</w:t>
      </w:r>
      <w:r>
        <w:t xml:space="preserve"> </w:t>
      </w:r>
      <w:r>
        <w:rPr>
          <w:rStyle w:val="VerbatimChar"/>
        </w:rPr>
        <w:t xml:space="preserve">technical-safeguards.md</w:t>
      </w:r>
      <w:r>
        <w:t xml:space="preserve"> </w:t>
      </w:r>
      <w:r>
        <w:t xml:space="preserve">§III.1.g (sessions/tokens) and §III.2.d (password hashing).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NPP (P.2)</w:t>
      </w:r>
      <w:r>
        <w:t xml:space="preserve"> </w:t>
      </w:r>
      <w:r>
        <w:t xml:space="preserve">remains an Open Action; the rest of the patient-rights row set (P.3, P.4, P.5) is Full.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maining-gaps"/>
    <w:p>
      <w:pPr>
        <w:pStyle w:val="Heading2"/>
      </w:pPr>
      <w:r>
        <w:t xml:space="preserve">§3 — Remaining gaps</w:t>
      </w:r>
    </w:p>
    <w:p>
      <w:pPr>
        <w:pStyle w:val="FirstParagraph"/>
      </w:pPr>
      <w:r>
        <w:t xml:space="preserve">Listed below in severity order. A</w:t>
      </w:r>
      <w:r>
        <w:t xml:space="preserve"> </w:t>
      </w:r>
      <w:r>
        <w:t xml:space="preserve">“gap”</w:t>
      </w:r>
      <w:r>
        <w:t xml:space="preserve"> </w:t>
      </w:r>
      <w:r>
        <w:t xml:space="preserve">here means anything not rated Full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not Out-of-scope.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CSV row(s)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Recommended next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OWASP A02 — operational password-storage implementation</w:t>
            </w:r>
          </w:p>
        </w:tc>
        <w:tc>
          <w:tcPr/>
          <w:p>
            <w:pPr>
              <w:pStyle w:val="Compact"/>
            </w:pPr>
            <w:r>
              <w:t xml:space="preserve">Policy is Full. Engineering must confirm production hashes meet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§III.2.d (argon2id/bcrypt + 16-byte salt + work factor ≥250 ms). Tracked in TODO #1.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OWASP A06 — operational patch backlog / GitHub upgrade</w:t>
            </w:r>
          </w:p>
        </w:tc>
        <w:tc>
          <w:tcPr/>
          <w:p>
            <w:pPr>
              <w:pStyle w:val="Compact"/>
            </w:pPr>
            <w:r>
              <w:t xml:space="preserve">Policy is Full. Complete GitHub plan upgrade; confirm patch-SLA compliance for current open CVEs. Tracked in TODO #2.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OWASP A07 — operational session/token implementation</w:t>
            </w:r>
          </w:p>
        </w:tc>
        <w:tc>
          <w:tcPr/>
          <w:p>
            <w:pPr>
              <w:pStyle w:val="Compact"/>
            </w:pPr>
            <w:r>
              <w:t xml:space="preserve">Policy is Full. Engineering must confirm session expiry, refresh-token rotation, logout-on-password-change against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§III.1.g. Tracked in TODO #3.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132–134</w:t>
            </w:r>
          </w:p>
        </w:tc>
        <w:tc>
          <w:tcPr/>
          <w:p>
            <w:pPr>
              <w:pStyle w:val="Compact"/>
            </w:pPr>
            <w:r>
              <w:t xml:space="preserve">MDM vendor selection + BYOD enrollment rollout</w:t>
            </w:r>
          </w:p>
        </w:tc>
        <w:tc>
          <w:tcPr/>
          <w:p>
            <w:pPr>
              <w:pStyle w:val="Compact"/>
            </w:pPr>
            <w:r>
              <w:t xml:space="preserve">Policy is Full. Select MDM vendor and run the enrollment process documented in</w:t>
            </w:r>
            <w:r>
              <w:t xml:space="preserve"> </w:t>
            </w: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§III.C.3. Tracked in TODO #4 and #5.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DR test execution</w:t>
            </w:r>
          </w:p>
        </w:tc>
        <w:tc>
          <w:tcPr/>
          <w:p>
            <w:pPr>
              <w:pStyle w:val="Compact"/>
            </w:pPr>
            <w:r>
              <w:t xml:space="preserve">Policy is Full. Execute the annual end-to-end DR exercise and capture last-test-date per</w:t>
            </w:r>
            <w:r>
              <w:t xml:space="preserve"> </w:t>
            </w: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§III.4.6. Tracked in TODO #9.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Standalone HR security policies</w:t>
            </w:r>
          </w:p>
        </w:tc>
        <w:tc>
          <w:tcPr/>
          <w:p>
            <w:pPr>
              <w:pStyle w:val="Compact"/>
            </w:pPr>
            <w:r>
              <w:t xml:space="preserve">Policy anchor exists in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§III.7. Author standalone background-check / NDA / full sanctions-schedule policies when bandwidth allows.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Patient-facing Notice of Privacy Practices (NPP)</w:t>
            </w:r>
          </w:p>
        </w:tc>
        <w:tc>
          <w:tcPr/>
          <w:p>
            <w:pPr>
              <w:pStyle w:val="Compact"/>
            </w:pPr>
            <w:r>
              <w:t xml:space="preserve">Tracked in</w:t>
            </w:r>
            <w:r>
              <w:t xml:space="preserve"> </w:t>
            </w:r>
            <w:r>
              <w:rPr>
                <w:rStyle w:val="VerbatimChar"/>
              </w:rPr>
              <w:t xml:space="preserve">New Policy Docs/PATIENT-NOTICE-TODO.md</w:t>
            </w:r>
            <w:r>
              <w:t xml:space="preserve">. Draft a real §164.520 NPP; ensure intake-packet, posted, and website distribution.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OWASP A09 — log review tuning</w:t>
            </w:r>
          </w:p>
        </w:tc>
        <w:tc>
          <w:tcPr/>
          <w:p>
            <w:pPr>
              <w:pStyle w:val="Compact"/>
            </w:pPr>
            <w:r>
              <w:t xml:space="preserve">Policy is Full. Tune log review cadence + alert thresholds per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§III.7. TODO #7.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OWASP A10 — SSRF operational hardening</w:t>
            </w:r>
          </w:p>
        </w:tc>
        <w:tc>
          <w:tcPr/>
          <w:p>
            <w:pPr>
              <w:pStyle w:val="Compact"/>
            </w:pPr>
            <w:r>
              <w:t xml:space="preserve">Policy is Full. Implement IMDSv2-only + URL allowlisting per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§10. TODO #8.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182, 183</w:t>
            </w:r>
          </w:p>
        </w:tc>
        <w:tc>
          <w:tcPr/>
          <w:p>
            <w:pPr>
              <w:pStyle w:val="Compact"/>
            </w:pPr>
            <w:r>
              <w:t xml:space="preserve">Pentest report + general security-audit attestation</w:t>
            </w:r>
          </w:p>
        </w:tc>
        <w:tc>
          <w:tcPr/>
          <w:p>
            <w:pPr>
              <w:pStyle w:val="Compact"/>
            </w:pPr>
            <w:r>
              <w:t xml:space="preserve">Policy commits in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§III.8. Procure annual pentest + decide on SOC 2/HITRUST direction; attach reports to ECH submission.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Code of Conduct</w:t>
            </w:r>
          </w:p>
        </w:tc>
        <w:tc>
          <w:tcPr/>
          <w:p>
            <w:pPr>
              <w:pStyle w:val="Compact"/>
            </w:pPr>
            <w:r>
              <w:t xml:space="preserve">Pointer exists in</w:t>
            </w:r>
            <w:r>
              <w:t xml:space="preserve"> </w:t>
            </w: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§III.9; full Code of Conduct still TBD per §VII Definitions.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Standalone fraud-prevention program</w:t>
            </w:r>
          </w:p>
        </w:tc>
        <w:tc>
          <w:tcPr/>
          <w:p>
            <w:pPr>
              <w:pStyle w:val="Compact"/>
            </w:pPr>
            <w:r>
              <w:t xml:space="preserve">Reporting channel exists in §III.9; standalone program not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Cyber liability certificate evidence</w:t>
            </w:r>
          </w:p>
        </w:tc>
        <w:tc>
          <w:tcPr/>
          <w:p>
            <w:pPr>
              <w:pStyle w:val="Compact"/>
            </w:pPr>
            <w:r>
              <w:t xml:space="preserve">Policy references exist; certificate must be attached to the ECH submission package (cannot be supplied by policy text).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Records retention — Email row TBD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§III.6 table marks Email as</w:t>
            </w:r>
            <w:r>
              <w:t xml:space="preserve"> </w:t>
            </w:r>
            <w:r>
              <w:t xml:space="preserve">“TBD”</w:t>
            </w:r>
            <w:r>
              <w:t xml:space="preserve">. Decide retention period and 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DMARC configured (email auth)</w:t>
            </w:r>
          </w:p>
        </w:tc>
        <w:tc>
          <w:tcPr/>
          <w:p>
            <w:pPr>
              <w:pStyle w:val="Compact"/>
            </w:pPr>
            <w:r>
              <w:t xml:space="preserve">Not addressed in any policy. Add an email-auth standards row to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§1 or to a future</w:t>
            </w:r>
            <w:r>
              <w:t xml:space="preserve"> </w:t>
            </w:r>
            <w:r>
              <w:t xml:space="preserve">“Email Security”</w:t>
            </w:r>
            <w:r>
              <w:t xml:space="preserve"> </w:t>
            </w:r>
            <w:r>
              <w:t xml:space="preserve">subsection; verify operational DMARC posture.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100, 124</w:t>
            </w:r>
          </w:p>
        </w:tc>
        <w:tc>
          <w:tcPr/>
          <w:p>
            <w:pPr>
              <w:pStyle w:val="Compact"/>
            </w:pPr>
            <w:r>
              <w:t xml:space="preserve">Multi-vendor resiliency — periodic review of risk acceptance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§III.4.7 commits to annual review by Risk Review Committee. Ensure first review is scheduled.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21, 26</w:t>
            </w:r>
          </w:p>
        </w:tc>
        <w:tc>
          <w:tcPr/>
          <w:p>
            <w:pPr>
              <w:pStyle w:val="Compact"/>
            </w:pPr>
            <w:r>
              <w:t xml:space="preserve">AWS Config + public-subnet residue</w:t>
            </w:r>
          </w:p>
        </w:tc>
        <w:tc>
          <w:tcPr/>
          <w:p>
            <w:pPr>
              <w:pStyle w:val="Compact"/>
            </w:pPr>
            <w:r>
              <w:t xml:space="preserve">TODOs #15, #16 cover the operational remediation; assessor-facing answer is</w:t>
            </w:r>
            <w:r>
              <w:t xml:space="preserve"> </w:t>
            </w:r>
            <w:r>
              <w:t xml:space="preserve">“accepted risk.”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11, 12, 13, 14, 16, 17</w:t>
            </w:r>
          </w:p>
        </w:tc>
        <w:tc>
          <w:tcPr/>
          <w:p>
            <w:pPr>
              <w:pStyle w:val="Compact"/>
            </w:pPr>
            <w:r>
              <w:t xml:space="preserve">AWS IAM judgment calls (console users, programmatic keys, unused keys/roles, wildcard admin)</w:t>
            </w:r>
          </w:p>
        </w:tc>
        <w:tc>
          <w:tcPr/>
          <w:p>
            <w:pPr>
              <w:pStyle w:val="Compact"/>
            </w:pPr>
            <w:r>
              <w:t xml:space="preserve">Operational items per TODO §🟡 Operational. Each is acknowledged in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§2 and accepted; no policy change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Telecom requirements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§III.1.3 covers patient telephony; no broader policy needed at Millie’s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50, 51</w:t>
            </w:r>
          </w:p>
        </w:tc>
        <w:tc>
          <w:tcPr/>
          <w:p>
            <w:pPr>
              <w:pStyle w:val="Compact"/>
            </w:pPr>
            <w:r>
              <w:t xml:space="preserve">AV/security exclusions, vuln-scan exclusions</w:t>
            </w:r>
          </w:p>
        </w:tc>
        <w:tc>
          <w:tcPr/>
          <w:p>
            <w:pPr>
              <w:pStyle w:val="Compact"/>
            </w:pPr>
            <w:r>
              <w:t xml:space="preserve">Partial — exclusions are typically defined operationally per ticket. No policy change required unless the assessor pushes 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167 (P.9 GLBA)</w:t>
            </w:r>
          </w:p>
        </w:tc>
        <w:tc>
          <w:tcPr/>
          <w:p>
            <w:pPr>
              <w:pStyle w:val="Compact"/>
            </w:pPr>
            <w:r>
              <w:t xml:space="preserve">GLBA scope</w:t>
            </w:r>
          </w:p>
        </w:tc>
        <w:tc>
          <w:tcPr/>
          <w:p>
            <w:pPr>
              <w:pStyle w:val="Compact"/>
            </w:pPr>
            <w:r>
              <w:t xml:space="preserve">Out-of-scope for Millie (not a financial institution); answer N/A.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3" w:name="X832b67a3249e59554617b42a6d4ceda2499ba52"/>
    <w:p>
      <w:pPr>
        <w:pStyle w:val="Heading2"/>
      </w:pPr>
      <w:r>
        <w:t xml:space="preserve">§4 — Delivery verification vs CONSOLIDATION-PROPOSAL §7</w:t>
      </w:r>
    </w:p>
    <w:p>
      <w:pPr>
        <w:pStyle w:val="FirstParagraph"/>
      </w:pPr>
      <w:r>
        <w:t xml:space="preserve">CONSOLIDATION-PROPOSAL §7.2 promised specific content additions to specific consolidated files. Each promised item is verified below against the active file.</w:t>
      </w:r>
    </w:p>
    <w:bookmarkStart w:id="23" w:name="to-acceptable-use-and-byod.md-new"/>
    <w:p>
      <w:pPr>
        <w:pStyle w:val="Heading3"/>
      </w:pPr>
      <w:r>
        <w:t xml:space="preserve">4.1 To</w:t>
      </w:r>
      <w:r>
        <w:t xml:space="preserve"> </w:t>
      </w:r>
      <w:r>
        <w:rPr>
          <w:rStyle w:val="VerbatimChar"/>
        </w:rPr>
        <w:t xml:space="preserve">acceptable-use-and-byod.md</w:t>
      </w:r>
      <w:r>
        <w:t xml:space="preserve"> </w:t>
      </w:r>
      <w:r>
        <w:t xml:space="preserve">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MDM section addressing rows 132–134</w:t>
            </w:r>
          </w:p>
        </w:tc>
        <w:tc>
          <w:tcPr/>
          <w:p>
            <w:pPr>
              <w:pStyle w:val="Compact"/>
            </w:pPr>
            <w:r>
              <w:t xml:space="preserve">§III.C (full MDM section with vendor TBD, capabilities, enrollment, privacy notice, work container)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Use clause (SIG R.1/R.2/R.5 minimum viable)</w:t>
            </w:r>
          </w:p>
        </w:tc>
        <w:tc>
          <w:tcPr/>
          <w:p>
            <w:pPr>
              <w:pStyle w:val="Compact"/>
            </w:pPr>
            <w:r>
              <w:t xml:space="preserve">§III.A.5 (prohibits PHI to unapproved AI/LLM); full AI policy authored separately as</w:t>
            </w:r>
            <w:r>
              <w:t xml:space="preserve"> </w:t>
            </w:r>
            <w:r>
              <w:rPr>
                <w:rStyle w:val="VerbatimChar"/>
              </w:rPr>
              <w:t xml:space="preserve">ai-and-ml-governance.md</w:t>
            </w:r>
          </w:p>
        </w:tc>
        <w:tc>
          <w:tcPr/>
          <w:p>
            <w:pPr>
              <w:pStyle w:val="Compact"/>
            </w:pPr>
            <w:r>
              <w:t xml:space="preserve">✅ Yes — and exceeded scope (separate AI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 use (internet, email, social, personal use, prohibited, sanctions)</w:t>
            </w:r>
          </w:p>
        </w:tc>
        <w:tc>
          <w:tcPr/>
          <w:p>
            <w:pPr>
              <w:pStyle w:val="Compact"/>
            </w:pPr>
            <w:r>
              <w:t xml:space="preserve">§III.A.1 through §III.A.7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3"/>
    <w:bookmarkStart w:id="24" w:name="to-technical-safeguards.md"/>
    <w:p>
      <w:pPr>
        <w:pStyle w:val="Heading3"/>
      </w:pPr>
      <w:r>
        <w:t xml:space="preserve">4.2 To</w:t>
      </w:r>
      <w:r>
        <w:t xml:space="preserve"> </w:t>
      </w:r>
      <w:r>
        <w:rPr>
          <w:rStyle w:val="VerbatimChar"/>
        </w:rPr>
        <w:t xml:space="preserve">technical-safeguards.md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&amp; token management subsection (OWASP A07)</w:t>
            </w:r>
          </w:p>
        </w:tc>
        <w:tc>
          <w:tcPr/>
          <w:p>
            <w:pPr>
              <w:pStyle w:val="Compact"/>
            </w:pPr>
            <w:r>
              <w:t xml:space="preserve">§III.1.g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storage / app secret hashing standard (OWASP A02)</w:t>
            </w:r>
          </w:p>
        </w:tc>
        <w:tc>
          <w:tcPr/>
          <w:p>
            <w:pPr>
              <w:pStyle w:val="Compact"/>
            </w:pPr>
            <w:r>
              <w:t xml:space="preserve">§III.2.d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Default-password change requirement (SIG N.12)</w:t>
            </w:r>
          </w:p>
        </w:tc>
        <w:tc>
          <w:tcPr/>
          <w:p>
            <w:pPr>
              <w:pStyle w:val="Compact"/>
            </w:pPr>
            <w:r>
              <w:t xml:space="preserve">§III.1.h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Logging/alerting cadence (OWASP A09 / SIG J.5) — new §8</w:t>
            </w:r>
          </w:p>
        </w:tc>
        <w:tc>
          <w:tcPr/>
          <w:p>
            <w:pPr>
              <w:pStyle w:val="Compact"/>
            </w:pPr>
            <w:r>
              <w:t xml:space="preserve">Landed as §III.7 (</w:t>
            </w:r>
            <w:r>
              <w:t xml:space="preserve">“Logging, Monitoring &amp; Alert Cadence”</w:t>
            </w:r>
            <w:r>
              <w:t xml:space="preserve">) — numbering different than §7.2 said but content delivered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4"/>
    <w:bookmarkStart w:id="25" w:name="to-network-and-cloud-security.md-new"/>
    <w:p>
      <w:pPr>
        <w:pStyle w:val="Heading3"/>
      </w:pPr>
      <w:r>
        <w:t xml:space="preserve">4.3 To</w:t>
      </w:r>
      <w:r>
        <w:t xml:space="preserve"> </w:t>
      </w:r>
      <w:r>
        <w:rPr>
          <w:rStyle w:val="VerbatimChar"/>
        </w:rPr>
        <w:t xml:space="preserve">network-and-cloud-security.md</w:t>
      </w:r>
      <w:r>
        <w:t xml:space="preserve"> </w:t>
      </w:r>
      <w:r>
        <w:t xml:space="preserve">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AWS Questionnaire policy-relevant items (rows 2–33)</w:t>
            </w:r>
          </w:p>
        </w:tc>
        <w:tc>
          <w:tcPr/>
          <w:p>
            <w:pPr>
              <w:pStyle w:val="Compact"/>
            </w:pPr>
            <w:r>
              <w:t xml:space="preserve">§§1–7, 12, 13, 14, 15 (per-row Q-refs cited)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 N.1, N.2, N.3, N.4, N.7, N.8, N.11, N.12</w:t>
            </w:r>
          </w:p>
        </w:tc>
        <w:tc>
          <w:tcPr/>
          <w:p>
            <w:pPr>
              <w:pStyle w:val="Compact"/>
            </w:pPr>
            <w:r>
              <w:t xml:space="preserve">§§4, 7, 8, 9, 11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Wireless policy section (N.9)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 baseline reference (OWASP A05)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SLA for network devices (OWASP A06 / SIG N.4)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✅ Yes (also duplicated in</w:t>
            </w:r>
            <w:r>
              <w:t xml:space="preserve"> </w:t>
            </w:r>
            <w:r>
              <w:rPr>
                <w:rStyle w:val="VerbatimChar"/>
              </w:rPr>
              <w:t xml:space="preserve">sdlc-and-asset-lifecycle.md</w:t>
            </w:r>
            <w:r>
              <w:t xml:space="preserve"> </w:t>
            </w:r>
            <w:r>
              <w:t xml:space="preserve">§6.2 — 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 defenses (OWASP A10)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5"/>
    <w:bookmarkStart w:id="26" w:name="X06bec0998bcf564b07492328e08c570613bb7ed"/>
    <w:p>
      <w:pPr>
        <w:pStyle w:val="Heading3"/>
      </w:pPr>
      <w:r>
        <w:t xml:space="preserve">4.4 To</w:t>
      </w:r>
      <w:r>
        <w:t xml:space="preserve"> </w:t>
      </w:r>
      <w:r>
        <w:rPr>
          <w:rStyle w:val="VerbatimChar"/>
        </w:rPr>
        <w:t xml:space="preserve">operational-safeguards.md</w:t>
      </w:r>
      <w:r>
        <w:t xml:space="preserve"> </w:t>
      </w:r>
      <w:r>
        <w:t xml:space="preserve">§5 (Contingency Planning)</w:t>
      </w:r>
    </w:p>
    <w:p>
      <w:pPr>
        <w:pStyle w:val="BlockText"/>
      </w:pPr>
      <w:r>
        <w:t xml:space="preserve">Note: §7.2 references</w:t>
      </w:r>
      <w:r>
        <w:t xml:space="preserve"> </w:t>
      </w:r>
      <w:r>
        <w:t xml:space="preserve">“§5 Contingency Planning”</w:t>
      </w:r>
      <w:r>
        <w:t xml:space="preserve">; the active file renumbers this as</w:t>
      </w:r>
      <w:r>
        <w:t xml:space="preserve"> </w:t>
      </w:r>
      <w:r>
        <w:rPr>
          <w:b/>
          <w:bCs/>
        </w:rPr>
        <w:t xml:space="preserve">§III.4</w:t>
      </w:r>
      <w:r>
        <w:t xml:space="preserve">. Content delivered there.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Pandemic / infectious disease appendix (SIG K.4)</w:t>
            </w:r>
          </w:p>
        </w:tc>
        <w:tc>
          <w:tcPr/>
          <w:p>
            <w:pPr>
              <w:pStyle w:val="Compact"/>
            </w:pPr>
            <w:r>
              <w:t xml:space="preserve">Appendix A — full plan, including activation criteria, remote work, communication chain, return-to-office; A.9 = active COVID-19 implementation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testing program subsection (SIG K.2)</w:t>
            </w:r>
          </w:p>
        </w:tc>
        <w:tc>
          <w:tcPr/>
          <w:p>
            <w:pPr>
              <w:pStyle w:val="Compact"/>
            </w:pPr>
            <w:r>
              <w:t xml:space="preserve">§III.4.6 (annual end-to-end + monthly restore-test)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Multi-vendor resiliency / single-vendor risk acceptance (SIG K.30)</w:t>
            </w:r>
          </w:p>
        </w:tc>
        <w:tc>
          <w:tcPr/>
          <w:p>
            <w:pPr>
              <w:pStyle w:val="Compact"/>
            </w:pPr>
            <w:r>
              <w:t xml:space="preserve">§III.4.7 (Aptible/AWS/Cloudflare inventory + accepted-risk + monitoring + exit considerations)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6"/>
    <w:bookmarkStart w:id="27" w:name="to-governance-and-risk-management.md"/>
    <w:p>
      <w:pPr>
        <w:pStyle w:val="Heading3"/>
      </w:pPr>
      <w:r>
        <w:t xml:space="preserve">4.5 To</w:t>
      </w:r>
      <w:r>
        <w:t xml:space="preserve"> </w:t>
      </w:r>
      <w:r>
        <w:rPr>
          <w:rStyle w:val="VerbatimChar"/>
        </w:rPr>
        <w:t xml:space="preserve">governance-and-risk-management.md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Retention schedule (SIG D.3 / K.11)</w:t>
            </w:r>
          </w:p>
        </w:tc>
        <w:tc>
          <w:tcPr/>
          <w:p>
            <w:pPr>
              <w:pStyle w:val="Compact"/>
            </w:pPr>
            <w:r>
              <w:t xml:space="preserve">§III.6 (full table by record type)</w:t>
            </w:r>
          </w:p>
        </w:tc>
        <w:tc>
          <w:tcPr/>
          <w:p>
            <w:pPr>
              <w:pStyle w:val="Compact"/>
            </w:pPr>
            <w:r>
              <w:t xml:space="preserve">✅ Yes — Email row marked</w:t>
            </w:r>
            <w:r>
              <w:t xml:space="preserve"> </w:t>
            </w:r>
            <w:r>
              <w:t xml:space="preserve">“TBD”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Risk Management framing (SIG A.1)</w:t>
            </w:r>
          </w:p>
        </w:tc>
        <w:tc>
          <w:tcPr/>
          <w:p>
            <w:pPr>
              <w:pStyle w:val="Compact"/>
            </w:pPr>
            <w:r>
              <w:t xml:space="preserve">§III.3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security pointer + sanctions clause (SIG E.1 + CONSOLIDATION §5c)</w:t>
            </w:r>
          </w:p>
        </w:tc>
        <w:tc>
          <w:tcPr/>
          <w:p>
            <w:pPr>
              <w:pStyle w:val="Compact"/>
            </w:pPr>
            <w:r>
              <w:t xml:space="preserve">§III.7 (anchor) + §V (canonical Sanctions clause)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Assurance Program section (rows 182, 183 + Insurance row 181)</w:t>
            </w:r>
          </w:p>
        </w:tc>
        <w:tc>
          <w:tcPr/>
          <w:p>
            <w:pPr>
              <w:pStyle w:val="Compact"/>
            </w:pPr>
            <w:r>
              <w:t xml:space="preserve">§III.8 (pentest, internal audit, SOC 2/HITRUST stance TBD, cyber insurance)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ethics / fraud prevention pointer (SIG L.4 / L.6)</w:t>
            </w:r>
          </w:p>
        </w:tc>
        <w:tc>
          <w:tcPr/>
          <w:p>
            <w:pPr>
              <w:pStyle w:val="Compact"/>
            </w:pPr>
            <w:r>
              <w:t xml:space="preserve">§III.9 (Code of Conduct TBD, whistleblower channel, fraud reporting channel)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Sanctions clause closing 45 CFR §164.530(e) gap</w:t>
            </w:r>
          </w:p>
        </w:tc>
        <w:tc>
          <w:tcPr/>
          <w:p>
            <w:pPr>
              <w:pStyle w:val="Compact"/>
            </w:pPr>
            <w:r>
              <w:t xml:space="preserve">§V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Training &amp; Awareness Program</w:t>
            </w:r>
          </w:p>
        </w:tc>
        <w:tc>
          <w:tcPr/>
          <w:p>
            <w:pPr>
              <w:pStyle w:val="Compact"/>
            </w:pPr>
            <w:r>
              <w:t xml:space="preserve">§IV</w:t>
            </w:r>
          </w:p>
        </w:tc>
        <w:tc>
          <w:tcPr/>
          <w:p>
            <w:pPr>
              <w:pStyle w:val="Compact"/>
            </w:pPr>
            <w:r>
              <w:t xml:space="preserve">✅ Yes (referenced from every other policy)</w:t>
            </w:r>
          </w:p>
        </w:tc>
      </w:tr>
    </w:tbl>
    <w:bookmarkEnd w:id="27"/>
    <w:bookmarkStart w:id="28" w:name="to-vendor-and-business-associates.md"/>
    <w:p>
      <w:pPr>
        <w:pStyle w:val="Heading3"/>
      </w:pPr>
      <w:r>
        <w:t xml:space="preserve">4.6 To</w:t>
      </w:r>
      <w:r>
        <w:t xml:space="preserve"> </w:t>
      </w:r>
      <w:r>
        <w:rPr>
          <w:rStyle w:val="VerbatimChar"/>
        </w:rPr>
        <w:t xml:space="preserve">vendor-and-business-associates.md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C-SCRM section (SIG S.32/S.57/S.61/S.80/S.100)</w:t>
            </w:r>
          </w:p>
        </w:tc>
        <w:tc>
          <w:tcPr/>
          <w:p>
            <w:pPr>
              <w:pStyle w:val="Compact"/>
            </w:pPr>
            <w:r>
              <w:t xml:space="preserve">§4 (Cybersecurity Supply Chain Risk Management, with SBOM + dependency vulnerability mgmt + assurance-cadence table)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Nth-party flow-down language migrated verbatim</w:t>
            </w:r>
          </w:p>
        </w:tc>
        <w:tc>
          <w:tcPr/>
          <w:p>
            <w:pPr>
              <w:pStyle w:val="Compact"/>
            </w:pPr>
            <w:r>
              <w:t xml:space="preserve">§3 (full Subcontractor and Nth-Party Flow-Down Requirements section)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8"/>
    <w:bookmarkStart w:id="29" w:name="to-sdlc-and-asset-lifecycle.md"/>
    <w:p>
      <w:pPr>
        <w:pStyle w:val="Heading3"/>
      </w:pPr>
      <w:r>
        <w:t xml:space="preserve">4.7 To</w:t>
      </w:r>
      <w:r>
        <w:t xml:space="preserve"> </w:t>
      </w:r>
      <w:r>
        <w:rPr>
          <w:rStyle w:val="VerbatimChar"/>
        </w:rPr>
        <w:t xml:space="preserve">sdlc-and-asset-lifecycle.md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Management subsection (SIG G.2)</w:t>
            </w:r>
          </w:p>
        </w:tc>
        <w:tc>
          <w:tcPr/>
          <w:p>
            <w:pPr>
              <w:pStyle w:val="Compact"/>
            </w:pPr>
            <w:r>
              <w:t xml:space="preserve">§5 (Change Management with Standard/Normal/Emergency categories, artifacts, audit trail)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management SLA — Critical=7d / High=30d (OWASP A06 / SIG N.4)</w:t>
            </w:r>
          </w:p>
        </w:tc>
        <w:tc>
          <w:tcPr/>
          <w:p>
            <w:pPr>
              <w:pStyle w:val="Compact"/>
            </w:pPr>
            <w:r>
              <w:t xml:space="preserve">§6.2 (full SLA table)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integrity / signed artifacts (OWASP A08)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coding standard pointer (OWASP A03/A04/A10)</w:t>
            </w:r>
          </w:p>
        </w:tc>
        <w:tc>
          <w:tcPr/>
          <w:p>
            <w:pPr>
              <w:pStyle w:val="Compact"/>
            </w:pPr>
            <w:r>
              <w:t xml:space="preserve">§2.1 (OWASP ASVS) + §2.2 (AppSec Role)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the SDLC header bug (was mis-stamped IT-026)</w:t>
            </w:r>
          </w:p>
        </w:tc>
        <w:tc>
          <w:tcPr/>
          <w:p>
            <w:pPr>
              <w:pStyle w:val="Compact"/>
            </w:pPr>
            <w:r>
              <w:t xml:space="preserve">Source quote in header section + Revision history correction; Policy # restored to IT-009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29"/>
    <w:bookmarkStart w:id="30" w:name="to-incident-and-breach-response.md"/>
    <w:p>
      <w:pPr>
        <w:pStyle w:val="Heading3"/>
      </w:pPr>
      <w:r>
        <w:t xml:space="preserve">4.8 To</w:t>
      </w:r>
      <w:r>
        <w:t xml:space="preserve"> </w:t>
      </w:r>
      <w:r>
        <w:rPr>
          <w:rStyle w:val="VerbatimChar"/>
        </w:rPr>
        <w:t xml:space="preserve">incident-and-breach-response.md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§7.2 promise</w:t>
            </w:r>
          </w:p>
        </w:tc>
        <w:tc>
          <w:tcPr/>
          <w:p>
            <w:pPr>
              <w:pStyle w:val="Compact"/>
            </w:pPr>
            <w:r>
              <w:t xml:space="preserve">Where landed</w:t>
            </w:r>
          </w:p>
        </w:tc>
        <w:tc>
          <w:tcPr/>
          <w:p>
            <w:pPr>
              <w:pStyle w:val="Compact"/>
            </w:pPr>
            <w:r>
              <w:t xml:space="preserve">Delivered?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Tamper-evident incident log (SIG J.14)</w:t>
            </w:r>
          </w:p>
        </w:tc>
        <w:tc>
          <w:tcPr/>
          <w:p>
            <w:pPr>
              <w:pStyle w:val="Compact"/>
            </w:pPr>
            <w:r>
              <w:t xml:space="preserve">§III.4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MSSP / outsourced IR statement (SIG J.11)</w:t>
            </w:r>
          </w:p>
        </w:tc>
        <w:tc>
          <w:tcPr/>
          <w:p>
            <w:pPr>
              <w:pStyle w:val="Compact"/>
            </w:pPr>
            <w:r>
              <w:t xml:space="preserve">§III.6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AWS-specific incident playbook pointer</w:t>
            </w:r>
          </w:p>
        </w:tc>
        <w:tc>
          <w:tcPr/>
          <w:p>
            <w:pPr>
              <w:pStyle w:val="Compact"/>
            </w:pPr>
            <w:r>
              <w:t xml:space="preserve">§III.3 (cross-reference to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bookmarkEnd w:id="30"/>
    <w:bookmarkStart w:id="31" w:name="cuts-promised-in-consolidation-7.3"/>
    <w:p>
      <w:pPr>
        <w:pStyle w:val="Heading3"/>
      </w:pPr>
      <w:r>
        <w:t xml:space="preserve">4.9 Cuts promised in CONSOLIDATION §7.3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§7.3 promise</w:t>
            </w:r>
          </w:p>
        </w:tc>
        <w:tc>
          <w:tcPr/>
          <w:p>
            <w:pPr>
              <w:pStyle w:val="Compact"/>
            </w:pPr>
            <w:r>
              <w:t xml:space="preserve">Verified in current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8 L-002 disclosure-permission subsections to a single paragraph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§III.2.4 (single Privacy-Officer-approval paragraph)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Foreign-country encryption export controls (cut)</w:t>
            </w:r>
          </w:p>
        </w:tc>
        <w:tc>
          <w:tcPr/>
          <w:p>
            <w:pPr>
              <w:pStyle w:val="Compact"/>
            </w:pPr>
            <w:r>
              <w:t xml:space="preserve">Not present in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Per-page paper-copy fee supply itemization (cut to flat fee)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§III.1.7 — flat $6.50 +</w:t>
            </w:r>
            <w:r>
              <w:t xml:space="preserve"> </w:t>
            </w:r>
            <w:r>
              <w:t xml:space="preserve">“no patient denied for inability to pay”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notification fill-in-the-blank forms (move to</w:t>
            </w:r>
            <w:r>
              <w:t xml:space="preserve"> </w:t>
            </w:r>
            <w:r>
              <w:rPr>
                <w:rStyle w:val="VerbatimChar"/>
              </w:rPr>
              <w:t xml:space="preserve">forms/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Docs/forms/breach-notification-{individual-letter,media-template,hhs-template}.md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Blocking Compliance Policy cross-references (inline EHI def, drop refs)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§VII inlines EHI; original broken refs gone ✅</w:t>
            </w:r>
          </w:p>
        </w:tc>
      </w:tr>
    </w:tbl>
    <w:bookmarkEnd w:id="31"/>
    <w:bookmarkStart w:id="32" w:name="promised-but-not-delivered"/>
    <w:p>
      <w:pPr>
        <w:pStyle w:val="Heading3"/>
      </w:pPr>
      <w:r>
        <w:t xml:space="preserve">4.10 Promised-but-not-delivered</w:t>
      </w:r>
    </w:p>
    <w:p>
      <w:pPr>
        <w:pStyle w:val="FirstParagraph"/>
      </w:pPr>
      <w:r>
        <w:t xml:space="preserve">None found in §7.2 or §7.3.</w:t>
      </w:r>
      <w:r>
        <w:t xml:space="preserve"> </w:t>
      </w:r>
      <w:r>
        <w:rPr>
          <w:b/>
          <w:bCs/>
        </w:rPr>
        <w:t xml:space="preserve">All content additions and cuts called out in CONSOLIDATION §7 appear in the active files.</w:t>
      </w:r>
      <w:r>
        <w:t xml:space="preserve"> </w:t>
      </w:r>
      <w:r>
        <w:t xml:space="preserve">Caveats:</w:t>
      </w:r>
    </w:p>
    <w:p>
      <w:pPr>
        <w:pStyle w:val="Compact"/>
        <w:numPr>
          <w:ilvl w:val="0"/>
          <w:numId w:val="1003"/>
        </w:numPr>
      </w:pPr>
      <w:r>
        <w:t xml:space="preserve">The Records Retention Schedule has an explicit</w:t>
      </w:r>
      <w:r>
        <w:t xml:space="preserve"> </w:t>
      </w:r>
      <w:r>
        <w:t xml:space="preserve">“TBD — policy under development”</w:t>
      </w:r>
      <w:r>
        <w:t xml:space="preserve"> </w:t>
      </w:r>
      <w:r>
        <w:t xml:space="preserve">entry for Email retention. Delivered as a row, but the value is incomplete.</w:t>
      </w:r>
    </w:p>
    <w:p>
      <w:pPr>
        <w:pStyle w:val="Compact"/>
        <w:numPr>
          <w:ilvl w:val="0"/>
          <w:numId w:val="1003"/>
        </w:numPr>
      </w:pPr>
      <w:r>
        <w:t xml:space="preserve">MDM vendor selection in</w:t>
      </w:r>
      <w:r>
        <w:t xml:space="preserve"> </w:t>
      </w:r>
      <w:r>
        <w:rPr>
          <w:rStyle w:val="VerbatimChar"/>
        </w:rPr>
        <w:t xml:space="preserve">acceptable-use-and-byod.md</w:t>
      </w:r>
      <w:r>
        <w:t xml:space="preserve"> </w:t>
      </w:r>
      <w:r>
        <w:t xml:space="preserve">§III.C.1 is marked</w:t>
      </w:r>
      <w:r>
        <w:t xml:space="preserve"> </w:t>
      </w:r>
      <w:r>
        <w:t xml:space="preserve">“TBD pending vendor selection.”</w:t>
      </w:r>
      <w:r>
        <w:t xml:space="preserve"> </w:t>
      </w:r>
      <w:r>
        <w:t xml:space="preserve">Policy is delivered; operational vendor choice is not.</w:t>
      </w:r>
    </w:p>
    <w:p>
      <w:pPr>
        <w:pStyle w:val="Compact"/>
        <w:numPr>
          <w:ilvl w:val="0"/>
          <w:numId w:val="1003"/>
        </w:numPr>
      </w:pPr>
      <w:r>
        <w:t xml:space="preserve">Code of Conduct location (governance §III.9) is marked</w:t>
      </w:r>
      <w:r>
        <w:t xml:space="preserve"> </w:t>
      </w:r>
      <w:r>
        <w:t xml:space="preserve">“TBD — under development.”</w:t>
      </w:r>
    </w:p>
    <w:p>
      <w:pPr>
        <w:pStyle w:val="Compact"/>
        <w:numPr>
          <w:ilvl w:val="0"/>
          <w:numId w:val="1003"/>
        </w:numPr>
      </w:pPr>
      <w:r>
        <w:t xml:space="preserve">SOC 2 / HITRUST direction in governance §III.8 is</w:t>
      </w:r>
      <w:r>
        <w:t xml:space="preserve"> </w:t>
      </w:r>
      <w:r>
        <w:t xml:space="preserve">“under evaluation.”</w:t>
      </w:r>
    </w:p>
    <w:p>
      <w:pPr>
        <w:pStyle w:val="FirstParagraph"/>
      </w:pPr>
      <w:r>
        <w:t xml:space="preserve">These are flagged in §3 above and tracked in TODO.md where appropriate.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net-new-findings-since-the-prior-mapping"/>
    <w:p>
      <w:pPr>
        <w:pStyle w:val="Heading2"/>
      </w:pPr>
      <w:r>
        <w:t xml:space="preserve">§5 — Net new findings since the prior mapping</w:t>
      </w:r>
    </w:p>
    <w:bookmarkStart w:id="34" w:name="substantive-coverage-changes"/>
    <w:p>
      <w:pPr>
        <w:pStyle w:val="Heading3"/>
      </w:pPr>
      <w:r>
        <w:t xml:space="preserve">5.1 Substantive coverage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Prior status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COVID-19 / pandemic plan (K.4)</w:t>
            </w:r>
          </w:p>
        </w:tc>
        <w:tc>
          <w:tcPr/>
          <w:p>
            <w:pPr>
              <w:pStyle w:val="Compact"/>
            </w:pPr>
            <w:r>
              <w:t xml:space="preserve">None (CSV NO)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Appendix A.9 holds the active COVID-19 clinical protocol drawn from</w:t>
            </w:r>
            <w:r>
              <w:t xml:space="preserve"> </w:t>
            </w:r>
            <w:r>
              <w:rPr>
                <w:rStyle w:val="VerbatimChar"/>
              </w:rPr>
              <w:t xml:space="preserve">Policy Docs/Millie Clinic COVID Policy.docx</w:t>
            </w:r>
            <w:r>
              <w:t xml:space="preserve">. Patient-facing CDPH isolation logic, exposure protocol, and prevention rules are complete. Staff-facing operational protocols (return-to-work, sick-leave, PPE, exposure-reporting) remain a</w:t>
            </w:r>
            <w:r>
              <w:t xml:space="preserve"> </w:t>
            </w:r>
            <w:r>
              <w:rPr>
                <w:rStyle w:val="VerbatimChar"/>
              </w:rPr>
              <w:t xml:space="preserve">To Do</w:t>
            </w:r>
            <w:r>
              <w:t xml:space="preserve"> </w:t>
            </w:r>
            <w:r>
              <w:t xml:space="preserve">placeholder per the source docx and are tracked in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TODO.md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BYOD / MDM (rows 132–134)</w:t>
            </w:r>
          </w:p>
        </w:tc>
        <w:tc>
          <w:tcPr/>
          <w:p>
            <w:pPr>
              <w:pStyle w:val="Compact"/>
            </w:pPr>
            <w:r>
              <w:t xml:space="preserve">None/Partial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acceptable-use-and-byod.md</w:t>
            </w:r>
            <w:r>
              <w:t xml:space="preserve"> </w:t>
            </w:r>
            <w:r>
              <w:t xml:space="preserve">closes the policy gap; MDM vendor selection remains operational TODO.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security suite (SIG §N)</w:t>
            </w:r>
          </w:p>
        </w:tc>
        <w:tc>
          <w:tcPr/>
          <w:p>
            <w:pPr>
              <w:pStyle w:val="Compact"/>
            </w:pPr>
            <w:r>
              <w:t xml:space="preserve">Mostly 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network-and-cloud-security.md</w:t>
            </w:r>
            <w:r>
              <w:t xml:space="preserve"> </w:t>
            </w:r>
            <w:r>
              <w:t xml:space="preserve">covers N.1–N.12 plus AWS Questionnaire rows 2–33 in one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governance (SIG §R)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ai-and-ml-governance.md</w:t>
            </w:r>
            <w:r>
              <w:t xml:space="preserve"> </w:t>
            </w:r>
            <w:r>
              <w:t xml:space="preserve">covers R.1/R.2/R.4/R.5; AI inventory anchored to</w:t>
            </w:r>
            <w:r>
              <w:t xml:space="preserve"> </w:t>
            </w:r>
            <w:r>
              <w:rPr>
                <w:rStyle w:val="VerbatimChar"/>
              </w:rPr>
              <w:t xml:space="preserve">platform-and-access-matrix.md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(SIG §S)</w:t>
            </w:r>
          </w:p>
        </w:tc>
        <w:tc>
          <w:tcPr/>
          <w:p>
            <w:pPr>
              <w:pStyle w:val="Compact"/>
            </w:pPr>
            <w:r>
              <w:t xml:space="preserve">None/Partial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§4 adds C-SCRM.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retention (D.3 / K.11)</w:t>
            </w:r>
          </w:p>
        </w:tc>
        <w:tc>
          <w:tcPr/>
          <w:p>
            <w:pPr>
              <w:pStyle w:val="Compact"/>
            </w:pPr>
            <w:r>
              <w:t xml:space="preserve">Partial (</w:t>
            </w:r>
            <w:r>
              <w:t xml:space="preserve">“indefinite”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§III.6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ERM framing (A.1)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A02, A07, A09 (sessions, password storage, logging)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§III.1.g, §III.2.d, §III.7.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Tamper-evident incident log (J.14)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Outsourced IR statement (J.11)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Patient-facing NPP (P.2)</w:t>
            </w:r>
          </w:p>
        </w:tc>
        <w:tc>
          <w:tcPr/>
          <w:p>
            <w:pPr>
              <w:pStyle w:val="Compact"/>
            </w:pPr>
            <w:r>
              <w:t xml:space="preserve">Partial (mis-titled file)</w:t>
            </w:r>
          </w:p>
        </w:tc>
        <w:tc>
          <w:tcPr/>
          <w:p>
            <w:pPr>
              <w:pStyle w:val="Compact"/>
            </w:pPr>
            <w:r>
              <w:t xml:space="preserve">Open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PATIENT-NOTICE-TODO.md</w:t>
            </w:r>
            <w:r>
              <w:t xml:space="preserve"> </w:t>
            </w:r>
            <w:r>
              <w:t xml:space="preserve">makes the gap explicit.</w:t>
            </w:r>
          </w:p>
        </w:tc>
      </w:tr>
    </w:tbl>
    <w:bookmarkEnd w:id="34"/>
    <w:bookmarkStart w:id="35" w:name="new-gaps-surfaced-on-this-pass"/>
    <w:p>
      <w:pPr>
        <w:pStyle w:val="Heading3"/>
      </w:pPr>
      <w:r>
        <w:t xml:space="preserve">5.2 New gaps surfaced on this pass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row 55 — DMARC.</w:t>
      </w:r>
      <w:r>
        <w:t xml:space="preserve"> </w:t>
      </w:r>
      <w:r>
        <w:t xml:space="preserve">Not addressed in any active policy. Suggest adding an email-authentication standards bullet under</w:t>
      </w:r>
      <w:r>
        <w:t xml:space="preserve"> </w:t>
      </w:r>
      <w:r>
        <w:rPr>
          <w:rStyle w:val="VerbatimChar"/>
        </w:rPr>
        <w:t xml:space="preserve">network-and-cloud-security.md</w:t>
      </w:r>
      <w:r>
        <w:t xml:space="preserve"> </w:t>
      </w:r>
      <w:r>
        <w:t xml:space="preserve">§1 (or a new §1.x) and creating an operational TODO to verify DMARC posture.</w:t>
      </w:r>
      <w:r>
        <w:t xml:space="preserve"> </w:t>
      </w:r>
      <w:r>
        <w:rPr>
          <w:b/>
          <w:bCs/>
        </w:rPr>
        <w:t xml:space="preserve">This is the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 </w:t>
      </w:r>
      <w:r>
        <w:rPr>
          <w:b/>
          <w:bCs/>
        </w:rPr>
        <w:t xml:space="preserve">rating in the entire matrix.</w:t>
      </w:r>
    </w:p>
    <w:bookmarkEnd w:id="35"/>
    <w:bookmarkStart w:id="36" w:name="cross-reference-health-check"/>
    <w:p>
      <w:pPr>
        <w:pStyle w:val="Heading3"/>
      </w:pPr>
      <w:r>
        <w:t xml:space="preserve">5.3 Cross-reference health check</w:t>
      </w:r>
    </w:p>
    <w:p>
      <w:pPr>
        <w:pStyle w:val="FirstParagraph"/>
      </w:pPr>
      <w:r>
        <w:t xml:space="preserve">Broken or stale links found in the active policy set.</w:t>
      </w:r>
      <w:r>
        <w:t xml:space="preserve"> </w:t>
      </w:r>
      <w:r>
        <w:rPr>
          <w:b/>
          <w:bCs/>
        </w:rPr>
        <w:t xml:space="preserve">None of these affect coverage</w:t>
      </w:r>
      <w:r>
        <w:t xml:space="preserve">; they’re cleanup items.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Line(s)</w:t>
            </w:r>
          </w:p>
        </w:tc>
        <w:tc>
          <w:tcPr/>
          <w:p>
            <w:pPr>
              <w:pStyle w:val="Compact"/>
            </w:pPr>
            <w:r>
              <w:t xml:space="preserve">Broken/stale ref</w:t>
            </w:r>
          </w:p>
        </w:tc>
        <w:tc>
          <w:tcPr/>
          <w:p>
            <w:pPr>
              <w:pStyle w:val="Compact"/>
            </w:pPr>
            <w:r>
              <w:t xml:space="preserve">Should be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</w:p>
        </w:tc>
        <w:tc>
          <w:tcPr/>
          <w:p>
            <w:pPr>
              <w:pStyle w:val="Compact"/>
            </w:pPr>
            <w:r>
              <w:t xml:space="preserve">203, 240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[hipaa-security-incidents.md](hipaa-security-incidents.docx)</w:t>
            </w:r>
            <w:r>
              <w:t xml:space="preserve"> </w:t>
            </w:r>
            <w:r>
              <w:t xml:space="preserve">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[incident-and-breach-response.md](incident-and-breach-response.docx)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[hipaa-safeguards.md](hipaa-safeguards.docx)</w:t>
            </w:r>
            <w:r>
              <w:t xml:space="preserve"> </w:t>
            </w:r>
            <w:r>
              <w:t xml:space="preserve">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[operational-safeguards.md](operational-safeguards.docx)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[hipaa-risk-management.md](hipaa-risk-management.docx)</w:t>
            </w:r>
            <w:r>
              <w:t xml:space="preserve"> </w:t>
            </w:r>
            <w:r>
              <w:t xml:space="preserve">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[governance-and-risk-management.md](governance-and-risk-management.docx)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</w:p>
        </w:tc>
        <w:tc>
          <w:tcPr/>
          <w:p>
            <w:pPr>
              <w:pStyle w:val="Compact"/>
            </w:pPr>
            <w:r>
              <w:t xml:space="preserve">32, 160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[hipaa-business-associate-agreement.md](hipaa-business-associate-agreement.docx)</w:t>
            </w:r>
            <w:r>
              <w:t xml:space="preserve"> </w:t>
            </w:r>
            <w:r>
              <w:t xml:space="preserve">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[vendor-and-business-associates.md](vendor-and-business-associates.docx)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</w:p>
        </w:tc>
        <w:tc>
          <w:tcPr/>
          <w:p>
            <w:pPr>
              <w:pStyle w:val="Compact"/>
            </w:pPr>
            <w:r>
              <w:t xml:space="preserve">124, 160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[hipaa-security-incidents.md](hipaa-security-incidents.docx)</w:t>
            </w:r>
            <w:r>
              <w:t xml:space="preserve"> </w:t>
            </w:r>
            <w:r>
              <w:t xml:space="preserve">(archived)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[incident-and-breach-response.md](incident-and-breach-response.docx)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</w:p>
        </w:tc>
        <w:tc>
          <w:tcPr/>
          <w:p>
            <w:pPr>
              <w:pStyle w:val="Compact"/>
            </w:pPr>
            <w:r>
              <w:t xml:space="preserve">94, 192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[information-security-framework.md](information-security-framework.docx)</w:t>
            </w:r>
            <w:r>
              <w:t xml:space="preserve"> </w:t>
            </w:r>
            <w:r>
              <w:t xml:space="preserve">(archived; merged into governance)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[governance-and-risk-management.md](governance-and-risk-management.docx)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Note that</w:t>
            </w:r>
            <w:r>
              <w:t xml:space="preserve"> </w:t>
            </w:r>
            <w:r>
              <w:rPr>
                <w:rStyle w:val="VerbatimChar"/>
              </w:rPr>
              <w:t xml:space="preserve">hipaa-definitions.md</w:t>
            </w:r>
            <w:r>
              <w:t xml:space="preserve"> </w:t>
            </w:r>
            <w:r>
              <w:t xml:space="preserve">§II(r)</w:t>
            </w:r>
            <w:r>
              <w:t xml:space="preserve"> </w:t>
            </w:r>
            <w:r>
              <w:t xml:space="preserve">“will be updated separately to reflect this reconciliation”</w:t>
            </w:r>
            <w:r>
              <w:t xml:space="preserve"> </w:t>
            </w:r>
            <w:r>
              <w:t xml:space="preserve">— definitions file still references</w:t>
            </w:r>
            <w:r>
              <w:t xml:space="preserve"> </w:t>
            </w:r>
            <w:r>
              <w:rPr>
                <w:rStyle w:val="VerbatimChar"/>
              </w:rPr>
              <w:t xml:space="preserve">Risk Management Team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Chief Privacy/Security Officer</w:t>
            </w:r>
            <w:r>
              <w:t xml:space="preserve">; the planned reconciliation update has not landed in</w:t>
            </w:r>
            <w:r>
              <w:t xml:space="preserve"> </w:t>
            </w:r>
            <w:r>
              <w:rPr>
                <w:rStyle w:val="VerbatimChar"/>
              </w:rPr>
              <w:t xml:space="preserve">hipaa-definitions.md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 (cosmetic; reconciliation is described in governance §III.2 anyway)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hipaa-definitions.md</w:t>
            </w:r>
          </w:p>
        </w:tc>
        <w:tc>
          <w:tcPr/>
          <w:p>
            <w:pPr>
              <w:pStyle w:val="Compact"/>
            </w:pPr>
            <w:r>
              <w:t xml:space="preserve">(whole)</w:t>
            </w:r>
          </w:p>
        </w:tc>
        <w:tc>
          <w:tcPr/>
          <w:p>
            <w:pPr>
              <w:pStyle w:val="Compact"/>
            </w:pPr>
            <w:r>
              <w:t xml:space="preserve">File still uses pre-consolidation metadata table + numbered list with</w:t>
            </w:r>
            <w:r>
              <w:t xml:space="preserve"> </w:t>
            </w:r>
            <w:r>
              <w:t xml:space="preserve">“Companypersonnel”</w:t>
            </w:r>
            <w:r>
              <w:t xml:space="preserve"> </w:t>
            </w:r>
            <w:r>
              <w:t xml:space="preserve">docx typo + footnote artifacts</w:t>
            </w:r>
          </w:p>
        </w:tc>
        <w:tc>
          <w:tcPr/>
          <w:p>
            <w:pPr>
              <w:pStyle w:val="Compact"/>
            </w:pPr>
            <w:r>
              <w:t xml:space="preserve">Apply the CONSOLIDATION §5d / §6 janitorial cleanup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36"/>
    <w:bookmarkStart w:id="37" w:name="contentcoverage-observations"/>
    <w:p>
      <w:pPr>
        <w:pStyle w:val="Heading3"/>
      </w:pPr>
      <w:r>
        <w:t xml:space="preserve">5.4 Content/coverage observations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AWS and Aptible Security Incident Management Policy.docx</w:t>
      </w:r>
      <w:r>
        <w:t xml:space="preserve"> </w:t>
      </w:r>
      <w:r>
        <w:t xml:space="preserve">(sitting in</w:t>
      </w:r>
      <w:r>
        <w:t xml:space="preserve"> </w:t>
      </w:r>
      <w:r>
        <w:rPr>
          <w:rStyle w:val="VerbatimChar"/>
        </w:rPr>
        <w:t xml:space="preserve">Policy Docs/</w:t>
      </w:r>
      <w:r>
        <w:t xml:space="preserve">, dated 2026-05-24)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integrated into any active markdown policy. The new</w:t>
      </w:r>
      <w:r>
        <w:t xml:space="preserve"> </w:t>
      </w:r>
      <w:r>
        <w:rPr>
          <w:rStyle w:val="VerbatimChar"/>
        </w:rPr>
        <w:t xml:space="preserve">incident-and-breach-response.md</w:t>
      </w:r>
      <w:r>
        <w:t xml:space="preserve"> </w:t>
      </w:r>
      <w:r>
        <w:t xml:space="preserve">§III.3 promises an</w:t>
      </w:r>
      <w:r>
        <w:t xml:space="preserve"> </w:t>
      </w:r>
      <w:r>
        <w:t xml:space="preserve">“AWS / cloud-specific playbook”</w:t>
      </w:r>
      <w:r>
        <w:t xml:space="preserve"> </w:t>
      </w:r>
      <w:r>
        <w:t xml:space="preserve">but the cited content lives in</w:t>
      </w:r>
      <w:r>
        <w:t xml:space="preserve"> </w:t>
      </w:r>
      <w:r>
        <w:rPr>
          <w:rStyle w:val="VerbatimChar"/>
        </w:rPr>
        <w:t xml:space="preserve">network-and-cloud-security.md</w:t>
      </w:r>
      <w:r>
        <w:t xml:space="preserve"> </w:t>
      </w:r>
      <w:r>
        <w:t xml:space="preserve">§13, which itself</w:t>
      </w:r>
      <w:r>
        <w:t xml:space="preserve"> </w:t>
      </w:r>
      <w:r>
        <w:rPr>
          <w:b/>
          <w:bCs/>
        </w:rPr>
        <w:t xml:space="preserve">points back</w:t>
      </w:r>
      <w:r>
        <w:t xml:space="preserve"> </w:t>
      </w:r>
      <w:r>
        <w:t xml:space="preserve">to incident-and-breach-response §III.3. The substantive cloud-specific runbook from the AWS/Aptible docx has not been migrated. Tracked in</w:t>
      </w:r>
      <w:r>
        <w:t xml:space="preserve"> </w:t>
      </w:r>
      <w:hyperlink r:id="rId9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“Other outstanding follow-ups.”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ECH Security Assessment Questions - Questions.csv</w:t>
      </w:r>
      <w:r>
        <w:rPr>
          <w:b/>
          <w:bCs/>
        </w:rPr>
        <w:t xml:space="preserve"> </w:t>
      </w:r>
      <w:r>
        <w:rPr>
          <w:b/>
          <w:bCs/>
        </w:rPr>
        <w:t xml:space="preserve">link paths.</w:t>
      </w:r>
      <w:r>
        <w:t xml:space="preserve"> </w:t>
      </w:r>
      <w:r>
        <w:t xml:space="preserve">The 2 fixes already applied (per user) are confirmed in</w:t>
      </w:r>
      <w:r>
        <w:t xml:space="preserve"> </w:t>
      </w:r>
      <w:r>
        <w:rPr>
          <w:rStyle w:val="VerbatimChar"/>
        </w:rPr>
        <w:t xml:space="preserve">vendor-and-business-associates.md</w:t>
      </w:r>
      <w:r>
        <w:t xml:space="preserve"> </w:t>
      </w:r>
      <w:r>
        <w:t xml:space="preserve">§5 and</w:t>
      </w:r>
      <w:r>
        <w:t xml:space="preserve"> </w:t>
      </w:r>
      <w:r>
        <w:rPr>
          <w:rStyle w:val="VerbatimChar"/>
        </w:rPr>
        <w:t xml:space="preserve">sdlc-and-asset-lifecycle.md</w:t>
      </w:r>
      <w:r>
        <w:t xml:space="preserve"> </w:t>
      </w:r>
      <w:r>
        <w:t xml:space="preserve">§1 — both now point to</w:t>
      </w:r>
      <w:r>
        <w:t xml:space="preserve"> </w:t>
      </w:r>
      <w:r>
        <w:rPr>
          <w:rStyle w:val="VerbatimChar"/>
        </w:rPr>
        <w:t xml:space="preserve">../ECH Security Assessment Questions - Questions.csv</w:t>
      </w:r>
      <w:r>
        <w:t xml:space="preserve"> </w:t>
      </w:r>
      <w:r>
        <w:t xml:space="preserve">at repo root.</w:t>
      </w:r>
      <w:r>
        <w:t xml:space="preserve"> </w:t>
      </w:r>
      <w:r>
        <w:rPr>
          <w:b/>
          <w:bCs/>
        </w:rPr>
        <w:t xml:space="preserve">No additional references found in the active policy set.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policy double-coverage (not a regression).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acceptable-use-and-byod.md</w:t>
      </w:r>
      <w:r>
        <w:t xml:space="preserve"> </w:t>
      </w:r>
      <w:r>
        <w:t xml:space="preserve">§III.A.5 and</w:t>
      </w:r>
      <w:r>
        <w:t xml:space="preserve"> </w:t>
      </w:r>
      <w:r>
        <w:rPr>
          <w:rStyle w:val="VerbatimChar"/>
        </w:rPr>
        <w:t xml:space="preserve">ai-and-ml-governance.md</w:t>
      </w:r>
      <w:r>
        <w:t xml:space="preserve"> </w:t>
      </w:r>
      <w:r>
        <w:t xml:space="preserve">constrain submission of PHI to AI tools. This is intentional layering (AUP-level guardrail + governance-level program). Both reference</w:t>
      </w:r>
      <w:r>
        <w:t xml:space="preserve"> </w:t>
      </w:r>
      <w:r>
        <w:rPr>
          <w:rStyle w:val="VerbatimChar"/>
        </w:rPr>
        <w:t xml:space="preserve">platform-and-access-matrix.md</w:t>
      </w:r>
      <w:r>
        <w:t xml:space="preserve"> </w:t>
      </w:r>
      <w:r>
        <w:t xml:space="preserve">as the source of truth for the approved-tool list.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hipaa-definitions.md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active policy file that still has the old docx-derived format</w:t>
      </w:r>
      <w:r>
        <w:t xml:space="preserve"> </w:t>
      </w:r>
      <w:r>
        <w:t xml:space="preserve">(numbered list, broken Scope heading, no consolidated frontmatter,</w:t>
      </w:r>
      <w:r>
        <w:t xml:space="preserve"> </w:t>
      </w:r>
      <w:r>
        <w:t xml:space="preserve">“Companypersonnel”</w:t>
      </w:r>
      <w:r>
        <w:t xml:space="preserve"> </w:t>
      </w:r>
      <w:r>
        <w:t xml:space="preserve">typo, footnote markers). Functionally adequate as a glossary; cosmetic only.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platform-and-access-matrix.md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hipaa-definitions.md</w:t>
      </w:r>
      <w:r>
        <w:rPr>
          <w:b/>
          <w:bCs/>
        </w:rPr>
        <w:t xml:space="preserve"> </w:t>
      </w:r>
      <w:r>
        <w:rPr>
          <w:b/>
          <w:bCs/>
        </w:rPr>
        <w:t xml:space="preserve">deviate from the 3-file reference pattern in the README and PATIENT-NOTICE-TODO.md.</w:t>
      </w:r>
      <w:r>
        <w:t xml:space="preserve"> </w:t>
      </w:r>
      <w:r>
        <w:t xml:space="preserve">Each new policy points back to</w:t>
      </w:r>
      <w:r>
        <w:t xml:space="preserve"> </w:t>
      </w:r>
      <w:r>
        <w:rPr>
          <w:rStyle w:val="VerbatimChar"/>
        </w:rPr>
        <w:t xml:space="preserve">hipaa-definitions.md</w:t>
      </w:r>
      <w:r>
        <w:t xml:space="preserve"> </w:t>
      </w:r>
      <w:r>
        <w:t xml:space="preserve">for shared terms — no breakage, but the README narrative speaks of</w:t>
      </w:r>
      <w:r>
        <w:t xml:space="preserve"> </w:t>
      </w:r>
      <w:r>
        <w:t xml:space="preserve">“10 thematic + 3 reference files”</w:t>
      </w:r>
      <w:r>
        <w:t xml:space="preserve"> </w:t>
      </w:r>
      <w:r>
        <w:t xml:space="preserve">and these are the 3 (platform matrix, definitions glossary, NPP placeholder).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23aa6edc4c5acec868f2a39df6539f7f98186d8"/>
    <w:p>
      <w:pPr>
        <w:pStyle w:val="Heading2"/>
      </w:pPr>
      <w:r>
        <w:t xml:space="preserve">§6 — Quick reference: 24 → 10 + 3 file mapping (for audit cross-reference)</w:t>
      </w:r>
    </w:p>
    <w:p>
      <w:pPr>
        <w:pStyle w:val="FirstParagraph"/>
      </w:pPr>
      <w:r>
        <w:t xml:space="preserve">Where each historical Policy # lives now in the active set. Mirrors the supersedes lists in the active files’ frontmatter.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file (archived)</w:t>
            </w:r>
          </w:p>
        </w:tc>
        <w:tc>
          <w:tcPr/>
          <w:p>
            <w:pPr>
              <w:pStyle w:val="Compact"/>
            </w:pPr>
            <w:r>
              <w:t xml:space="preserve">Old Policy #</w:t>
            </w:r>
          </w:p>
        </w:tc>
        <w:tc>
          <w:tcPr/>
          <w:p>
            <w:pPr>
              <w:pStyle w:val="Compact"/>
            </w:pPr>
            <w:r>
              <w:t xml:space="preserve">Current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hipaa-accounting-of-disclosures.md</w:t>
            </w:r>
          </w:p>
        </w:tc>
        <w:tc>
          <w:tcPr/>
          <w:p>
            <w:pPr>
              <w:pStyle w:val="Compact"/>
            </w:pPr>
            <w:r>
              <w:t xml:space="preserve">L-003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hipaa-breach-notification.md</w:t>
            </w:r>
          </w:p>
        </w:tc>
        <w:tc>
          <w:tcPr/>
          <w:p>
            <w:pPr>
              <w:pStyle w:val="Compact"/>
            </w:pPr>
            <w:r>
              <w:t xml:space="preserve">L-004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§III.7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hipaa-business-associate-agreement.md</w:t>
            </w:r>
          </w:p>
        </w:tc>
        <w:tc>
          <w:tcPr/>
          <w:p>
            <w:pPr>
              <w:pStyle w:val="Compact"/>
            </w:pPr>
            <w:r>
              <w:t xml:space="preserve">L-001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hipaa-contingency-planning.md</w:t>
            </w:r>
          </w:p>
        </w:tc>
        <w:tc>
          <w:tcPr/>
          <w:p>
            <w:pPr>
              <w:pStyle w:val="Compact"/>
            </w:pPr>
            <w:r>
              <w:t xml:space="preserve">IT-003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hipaa-de-identifying-phi.md</w:t>
            </w:r>
          </w:p>
        </w:tc>
        <w:tc>
          <w:tcPr/>
          <w:p>
            <w:pPr>
              <w:pStyle w:val="Compact"/>
            </w:pPr>
            <w:r>
              <w:t xml:space="preserve">L-005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§§3–5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hipaa-definitions.md</w:t>
            </w:r>
          </w:p>
        </w:tc>
        <w:tc>
          <w:tcPr/>
          <w:p>
            <w:pPr>
              <w:pStyle w:val="Compact"/>
            </w:pPr>
            <w:r>
              <w:t xml:space="preserve">L-007</w:t>
            </w:r>
          </w:p>
        </w:tc>
        <w:tc>
          <w:tcPr/>
          <w:p>
            <w:pPr>
              <w:pStyle w:val="Compact"/>
            </w:pPr>
            <w:r>
              <w:t xml:space="preserve">unchanged (reference glossary)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hipaa-encryption.md</w:t>
            </w:r>
          </w:p>
        </w:tc>
        <w:tc>
          <w:tcPr/>
          <w:p>
            <w:pPr>
              <w:pStyle w:val="Compact"/>
            </w:pPr>
            <w:r>
              <w:t xml:space="preserve">IT-005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hipaa-marketing.md</w:t>
            </w:r>
          </w:p>
        </w:tc>
        <w:tc>
          <w:tcPr/>
          <w:p>
            <w:pPr>
              <w:pStyle w:val="Compact"/>
            </w:pPr>
            <w:r>
              <w:t xml:space="preserve">L-006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§III.6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hipaa-minimum-necessary.md</w:t>
            </w:r>
          </w:p>
        </w:tc>
        <w:tc>
          <w:tcPr/>
          <w:p>
            <w:pPr>
              <w:pStyle w:val="Compact"/>
            </w:pPr>
            <w:r>
              <w:t xml:space="preserve">L-010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§III.1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hipaa-paper-documents.md</w:t>
            </w:r>
          </w:p>
        </w:tc>
        <w:tc>
          <w:tcPr/>
          <w:p>
            <w:pPr>
              <w:pStyle w:val="Compact"/>
            </w:pPr>
            <w:r>
              <w:t xml:space="preserve">L-011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hipaa-passwords.md</w:t>
            </w:r>
          </w:p>
        </w:tc>
        <w:tc>
          <w:tcPr/>
          <w:p>
            <w:pPr>
              <w:pStyle w:val="Compact"/>
            </w:pPr>
            <w:r>
              <w:t xml:space="preserve">IT-001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hipaa-phi-use-and-disclosure.md</w:t>
            </w:r>
          </w:p>
        </w:tc>
        <w:tc>
          <w:tcPr/>
          <w:p>
            <w:pPr>
              <w:pStyle w:val="Compact"/>
            </w:pPr>
            <w:r>
              <w:t xml:space="preserve">L-002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phi-use-and-disclosure.md</w:t>
            </w:r>
            <w:r>
              <w:t xml:space="preserve"> </w:t>
            </w:r>
            <w:r>
              <w:t xml:space="preserve">§III.2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hipaa-remote-access.md</w:t>
            </w:r>
          </w:p>
        </w:tc>
        <w:tc>
          <w:tcPr/>
          <w:p>
            <w:pPr>
              <w:pStyle w:val="Compact"/>
            </w:pPr>
            <w:r>
              <w:t xml:space="preserve">IT-006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hipaa-right-to-access.md</w:t>
            </w:r>
          </w:p>
        </w:tc>
        <w:tc>
          <w:tcPr/>
          <w:p>
            <w:pPr>
              <w:pStyle w:val="Compact"/>
            </w:pPr>
            <w:r>
              <w:t xml:space="preserve">L-009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§III.1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hipaa-right-to-amend.md</w:t>
            </w:r>
          </w:p>
        </w:tc>
        <w:tc>
          <w:tcPr/>
          <w:p>
            <w:pPr>
              <w:pStyle w:val="Compact"/>
            </w:pPr>
            <w:r>
              <w:t xml:space="preserve">L-008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patient-rights.md</w:t>
            </w:r>
            <w:r>
              <w:t xml:space="preserve"> </w:t>
            </w:r>
            <w:r>
              <w:t xml:space="preserve">§III.2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hipaa-risk-management.md</w:t>
            </w:r>
          </w:p>
        </w:tc>
        <w:tc>
          <w:tcPr/>
          <w:p>
            <w:pPr>
              <w:pStyle w:val="Compact"/>
            </w:pPr>
            <w:r>
              <w:t xml:space="preserve">IT-007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§§III.4–5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hipaa-safeguards.md</w:t>
            </w:r>
          </w:p>
        </w:tc>
        <w:tc>
          <w:tcPr/>
          <w:p>
            <w:pPr>
              <w:pStyle w:val="Compact"/>
            </w:pPr>
            <w:r>
              <w:t xml:space="preserve">IT-008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operational-safeguards.md</w:t>
            </w:r>
            <w:r>
              <w:t xml:space="preserve"> </w:t>
            </w:r>
            <w:r>
              <w:t xml:space="preserve">§§III.1–2 (admin + physical); technical bits →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hipaa-security-incidents.md</w:t>
            </w:r>
          </w:p>
        </w:tc>
        <w:tc>
          <w:tcPr/>
          <w:p>
            <w:pPr>
              <w:pStyle w:val="Compact"/>
            </w:pPr>
            <w:r>
              <w:t xml:space="preserve">IT-009 (old)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incident-and-breach-response.md</w:t>
            </w:r>
            <w:r>
              <w:t xml:space="preserve"> </w:t>
            </w:r>
            <w:r>
              <w:t xml:space="preserve">§§III.1–6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hipaa-workstation-use.md</w:t>
            </w:r>
          </w:p>
        </w:tc>
        <w:tc>
          <w:tcPr/>
          <w:p>
            <w:pPr>
              <w:pStyle w:val="Compact"/>
            </w:pPr>
            <w:r>
              <w:t xml:space="preserve">IT-002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information-security-framework.md</w:t>
            </w:r>
          </w:p>
        </w:tc>
        <w:tc>
          <w:tcPr/>
          <w:p>
            <w:pPr>
              <w:pStyle w:val="Compact"/>
            </w:pPr>
            <w:r>
              <w:t xml:space="preserve">IT-026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governance-and-risk-management.md</w:t>
            </w:r>
            <w:r>
              <w:t xml:space="preserve"> </w:t>
            </w:r>
            <w:r>
              <w:t xml:space="preserve">§III.1 +</w:t>
            </w:r>
            <w:r>
              <w:t xml:space="preserve"> </w:t>
            </w:r>
            <w:r>
              <w:rPr>
                <w:rStyle w:val="VerbatimChar"/>
              </w:rPr>
              <w:t xml:space="preserve">vendor-and-business-associates.md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privacy-policy.md (mis-titled bundle)</w:t>
            </w:r>
          </w:p>
        </w:tc>
        <w:tc>
          <w:tcPr/>
          <w:p>
            <w:pPr>
              <w:pStyle w:val="Compact"/>
            </w:pPr>
            <w:r>
              <w:t xml:space="preserve">(mixed)</w:t>
            </w:r>
          </w:p>
        </w:tc>
        <w:tc>
          <w:tcPr/>
          <w:p>
            <w:pPr>
              <w:pStyle w:val="Compact"/>
            </w:pPr>
            <w:r>
              <w:t xml:space="preserve">Content rescued: IT-004 Device &amp; Media →</w:t>
            </w:r>
            <w:r>
              <w:t xml:space="preserve"> </w:t>
            </w:r>
            <w:r>
              <w:rPr>
                <w:rStyle w:val="VerbatimChar"/>
              </w:rPr>
              <w:t xml:space="preserve">technical-safeguards.md</w:t>
            </w:r>
            <w:r>
              <w:t xml:space="preserve"> </w:t>
            </w:r>
            <w:r>
              <w:t xml:space="preserve">§III.5. Patient-facing NPP → still TODO (</w:t>
            </w:r>
            <w:r>
              <w:rPr>
                <w:rStyle w:val="VerbatimChar"/>
              </w:rPr>
              <w:t xml:space="preserve">PATIENT-NOTICE-TODO.md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sdlc-and-asset-lifecycle.md</w:t>
            </w:r>
          </w:p>
        </w:tc>
        <w:tc>
          <w:tcPr/>
          <w:p>
            <w:pPr>
              <w:pStyle w:val="Compact"/>
            </w:pPr>
            <w:r>
              <w:t xml:space="preserve">IT-009 (corrected)</w:t>
            </w:r>
          </w:p>
        </w:tc>
        <w:tc>
          <w:tcPr/>
          <w:p>
            <w:pPr>
              <w:pStyle w:val="Compact"/>
            </w:pPr>
            <w:r>
              <w:t xml:space="preserve">unchanged (CTO-owned standalone)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platform-and-access-matrix.md</w:t>
            </w:r>
          </w:p>
        </w:tc>
        <w:tc>
          <w:tcPr/>
          <w:p>
            <w:pPr>
              <w:pStyle w:val="Compact"/>
            </w:pPr>
            <w:r>
              <w:t xml:space="preserve">(xlsx snapshot)</w:t>
            </w:r>
          </w:p>
        </w:tc>
        <w:tc>
          <w:tcPr/>
          <w:p>
            <w:pPr>
              <w:pStyle w:val="Compact"/>
            </w:pPr>
            <w:r>
              <w:t xml:space="preserve">unchanged (reference matrix)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ech-security-assessment.md</w:t>
            </w:r>
          </w:p>
        </w:tc>
        <w:tc>
          <w:tcPr/>
          <w:p>
            <w:pPr>
              <w:pStyle w:val="Compact"/>
            </w:pPr>
            <w:r>
              <w:t xml:space="preserve">(xlsx snapshot)</w:t>
            </w:r>
          </w:p>
        </w:tc>
        <w:tc>
          <w:tcPr/>
          <w:p>
            <w:pPr>
              <w:pStyle w:val="Compac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../ECH Security Assessment Questions - Questions.csv</w:t>
            </w:r>
            <w:r>
              <w:t xml:space="preserve"> </w:t>
            </w:r>
            <w:r>
              <w:t xml:space="preserve">at repo root</w:t>
            </w:r>
          </w:p>
        </w:tc>
      </w:tr>
    </w:tbl>
    <w:p>
      <w:pPr>
        <w:pStyle w:val="BodyText"/>
      </w:pPr>
      <w:r>
        <w:t xml:space="preserve">New active files with no pre-consolidation predecessor: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file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acceptable-use-and-byod.md</w:t>
            </w:r>
          </w:p>
        </w:tc>
        <w:tc>
          <w:tcPr/>
          <w:p>
            <w:pPr>
              <w:pStyle w:val="Compact"/>
            </w:pPr>
            <w:r>
              <w:t xml:space="preserve">SIG D.2, M.1.3, M.1.5, M.1.6</w:t>
            </w:r>
          </w:p>
        </w:tc>
        <w:tc>
          <w:tcPr/>
          <w:p>
            <w:pPr>
              <w:pStyle w:val="Compact"/>
            </w:pPr>
            <w:r>
              <w:t xml:space="preserve">Authored 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network-and-cloud-security.md</w:t>
            </w:r>
          </w:p>
        </w:tc>
        <w:tc>
          <w:tcPr/>
          <w:p>
            <w:pPr>
              <w:pStyle w:val="Compact"/>
            </w:pPr>
            <w:r>
              <w:t xml:space="preserve">AWS Q rows 2–33; SIG N.1–N.12; OWASP A05/A06/A10</w:t>
            </w:r>
          </w:p>
        </w:tc>
        <w:tc>
          <w:tcPr/>
          <w:p>
            <w:pPr>
              <w:pStyle w:val="Compact"/>
            </w:pPr>
            <w:r>
              <w:t xml:space="preserve">Authored 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ai-and-ml-governance.md</w:t>
            </w:r>
          </w:p>
        </w:tc>
        <w:tc>
          <w:tcPr/>
          <w:p>
            <w:pPr>
              <w:pStyle w:val="Compact"/>
            </w:pPr>
            <w:r>
              <w:t xml:space="preserve">SIG R.1, R.2, R.4, R.5</w:t>
            </w:r>
          </w:p>
        </w:tc>
        <w:tc>
          <w:tcPr/>
          <w:p>
            <w:pPr>
              <w:pStyle w:val="Compact"/>
            </w:pPr>
            <w:r>
              <w:t xml:space="preserve">Authored 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Docs/PATIENT-NOTICE-TODO.md</w:t>
            </w:r>
          </w:p>
        </w:tc>
        <w:tc>
          <w:tcPr/>
          <w:p>
            <w:pPr>
              <w:pStyle w:val="Compact"/>
            </w:pPr>
            <w:r>
              <w:t xml:space="preserve">SIG P.2 (NPP)</w:t>
            </w:r>
          </w:p>
        </w:tc>
        <w:tc>
          <w:tcPr/>
          <w:p>
            <w:pPr>
              <w:pStyle w:val="Compact"/>
            </w:pPr>
            <w:r>
              <w:t xml:space="preserve">Placeholder authored 2026-05-24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Docs/forms/breach-notification-individual-letter.md</w:t>
            </w:r>
          </w:p>
        </w:tc>
        <w:tc>
          <w:tcPr/>
          <w:p>
            <w:pPr>
              <w:pStyle w:val="Compact"/>
            </w:pPr>
            <w:r>
              <w:t xml:space="preserve">45 CFR §164.404</w:t>
            </w:r>
          </w:p>
        </w:tc>
        <w:tc>
          <w:tcPr/>
          <w:p>
            <w:pPr>
              <w:pStyle w:val="Compact"/>
            </w:pPr>
            <w:r>
              <w:t xml:space="preserve">Migrated from L-004 Exhibit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Docs/forms/breach-notification-media-template.md</w:t>
            </w:r>
          </w:p>
        </w:tc>
        <w:tc>
          <w:tcPr/>
          <w:p>
            <w:pPr>
              <w:pStyle w:val="Compact"/>
            </w:pPr>
            <w:r>
              <w:t xml:space="preserve">45 CFR §164.406</w:t>
            </w:r>
          </w:p>
        </w:tc>
        <w:tc>
          <w:tcPr/>
          <w:p>
            <w:pPr>
              <w:pStyle w:val="Compact"/>
            </w:pPr>
            <w:r>
              <w:t xml:space="preserve">New (derived from L-004 content requirements)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Policy Docs/forms/breach-notification-hhs-template.md</w:t>
            </w:r>
          </w:p>
        </w:tc>
        <w:tc>
          <w:tcPr/>
          <w:p>
            <w:pPr>
              <w:pStyle w:val="Compact"/>
            </w:pPr>
            <w:r>
              <w:t xml:space="preserve">45 CFR §§164.408, 164.414</w:t>
            </w:r>
          </w:p>
        </w:tc>
        <w:tc>
          <w:tcPr/>
          <w:p>
            <w:pPr>
              <w:pStyle w:val="Compact"/>
            </w:pPr>
            <w:r>
              <w:t xml:space="preserve">Migrated from L-004 Exhibits B + D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TOD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TOD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POLICY-VS-QUESTIONNAIRE-MAPPING</dc:title>
  <dc:creator/>
  <cp:keywords/>
  <dcterms:created xsi:type="dcterms:W3CDTF">2026-05-26T18:49:06Z</dcterms:created>
  <dcterms:modified xsi:type="dcterms:W3CDTF">2026-05-26T18:49:06Z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reviewed">
    <vt:lpwstr>2026-05-24</vt:lpwstr>
  </property>
  <property fmtid="{D5CDD505-2E9C-101B-9397-08002B2CF9AE}" pid="3" name="owner">
    <vt:lpwstr>Security Officer + Privacy Officer (joint)</vt:lpwstr>
  </property>
  <property fmtid="{D5CDD505-2E9C-101B-9397-08002B2CF9AE}" pid="4" name="source_questionnaire">
    <vt:lpwstr>ECH Security Assessment Questions - Questions.csv (182 rows, 7 questionnaires)</vt:lpwstr>
  </property>
  <property fmtid="{D5CDD505-2E9C-101B-9397-08002B2CF9AE}" pid="5" name="status">
    <vt:lpwstr>current</vt:lpwstr>
  </property>
</Properties>
</file>