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README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millie-policies-compliance"/>
    <w:p>
      <w:pPr>
        <w:pStyle w:val="Heading1"/>
      </w:pPr>
      <w:r>
        <w:t xml:space="preserve">Millie Policies &amp; Compliance</w:t>
      </w:r>
    </w:p>
    <w:p>
      <w:pPr>
        <w:pStyle w:val="FirstParagraph"/>
      </w:pPr>
      <w:r>
        <w:t xml:space="preserve">This repository is the source of truth for Millie’s HIPAA and information security policies.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New Policy Docs/</w:t>
      </w:r>
      <w:r>
        <w:t xml:space="preserve"> </w:t>
      </w:r>
      <w:r>
        <w:t xml:space="preserve">— current canonical policies in Markdown. Edit these. 10 thematic policies + 3 reference files + 1 TODO + 1</w:t>
      </w:r>
      <w:r>
        <w:t xml:space="preserve"> </w:t>
      </w:r>
      <w:r>
        <w:rPr>
          <w:rStyle w:val="VerbatimChar"/>
        </w:rPr>
        <w:t xml:space="preserve">forms/</w:t>
      </w:r>
      <w:r>
        <w:t xml:space="preserve"> </w:t>
      </w:r>
      <w:r>
        <w:t xml:space="preserve">subfolder.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New Policy Docs/_archive/</w:t>
      </w:r>
      <w:r>
        <w:t xml:space="preserve"> </w:t>
      </w:r>
      <w:r>
        <w:t xml:space="preserve">— the 20 single-topic policy files from the May 2026 consolidation. Historical reference only; don’t edit.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Policy Docs/</w:t>
      </w:r>
      <w:r>
        <w:t xml:space="preserve"> </w:t>
      </w:r>
      <w:r>
        <w:t xml:space="preserve">— original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source files from the pre-Markdown era. Don’t edit.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ECH Security Assessment Questions - Questions.csv</w:t>
      </w:r>
      <w:r>
        <w:t xml:space="preserve"> </w:t>
      </w:r>
      <w:r>
        <w:t xml:space="preserve">— third-party vendor questionnaire Millie completes (AWS / ISD / OWASP / PCI / SIG Lite / Insurance / Security Audits).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CONSOLIDATION-PROPOSAL.md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  <w:bCs/>
        </w:rPr>
        <w:t xml:space="preserve">POLICY-VS-QUESTIONNAIRE-MAPPING.md</w:t>
      </w:r>
      <w:r>
        <w:t xml:space="preserve"> </w:t>
      </w:r>
      <w:r>
        <w:t xml:space="preserve">— working documents that drove the consolidation; useful for understanding why files are structured as they are.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TODO.md</w:t>
      </w:r>
      <w:r>
        <w:t xml:space="preserve"> </w:t>
      </w:r>
      <w:r>
        <w:t xml:space="preserve">— outstanding compliance action items surfaced by the ECH assessment.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This README</w:t>
      </w:r>
      <w:r>
        <w:t xml:space="preserve"> </w:t>
      </w:r>
      <w:r>
        <w:t xml:space="preserve">— operating playbook: policy index, compliance calendar, and responsibility matrix. Reviewed by the</w:t>
      </w:r>
      <w:r>
        <w:t xml:space="preserve"> </w:t>
      </w:r>
      <w:r>
        <w:rPr>
          <w:b/>
          <w:bCs/>
        </w:rPr>
        <w:t xml:space="preserve">Privacy Officer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Security Officer</w:t>
      </w:r>
      <w:r>
        <w:t xml:space="preserve"> </w:t>
      </w:r>
      <w:r>
        <w:t xml:space="preserve">at the start of each quarter.</w:t>
      </w:r>
    </w:p>
    <w:p>
      <w:pPr>
        <w:pStyle w:val="FirstParagraph"/>
      </w:pPr>
      <w:r>
        <w:rPr>
          <w:b/>
          <w:bCs/>
        </w:rPr>
        <w:t xml:space="preserve">How to use this document: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 Policy Index</w:t>
      </w:r>
      <w:r>
        <w:t xml:space="preserve"> </w:t>
      </w:r>
      <w:r>
        <w:t xml:space="preserve">— confirm every active policy is current. If a policy is out of date, open the file and update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§2 Compliance Calendar</w:t>
      </w:r>
      <w:r>
        <w:t xml:space="preserve"> </w:t>
      </w:r>
      <w:r>
        <w:t xml:space="preserve">— work the recurring tasks for the current month/quarter/year. Tick off each row as it’s done; if a task isn’t done by its target date, escalate to the policy owner.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§3 Responsibility Matrix</w:t>
      </w:r>
      <w:r>
        <w:t xml:space="preserve"> </w:t>
      </w:r>
      <w:r>
        <w:t xml:space="preserve">— when something happens (incident, audit, vendor change), use this table to find who is Responsible, Accountable, Consulted, and Informed.</w:t>
      </w:r>
    </w:p>
    <w:p>
      <w:pPr>
        <w:pStyle w:val="FirstParagraph"/>
      </w:pPr>
      <w:r>
        <w:t xml:space="preserve">Owner names are listed by</w:t>
      </w:r>
      <w:r>
        <w:t xml:space="preserve"> </w:t>
      </w:r>
      <w:r>
        <w:rPr>
          <w:b/>
          <w:bCs/>
        </w:rPr>
        <w:t xml:space="preserve">role</w:t>
      </w:r>
      <w:r>
        <w:t xml:space="preserve"> </w:t>
      </w:r>
      <w:r>
        <w:t xml:space="preserve">(Privacy Officer, Security Officer, CTO, CEO, Practice Manager). Fill in real names alongside each role the first time you use this document.</w:t>
      </w:r>
    </w:p>
    <w:p>
      <w:r>
        <w:pict>
          <v:rect style="width:0;height:1.5pt" o:hralign="center" o:hrstd="t" o:hr="t"/>
        </w:pict>
      </w:r>
    </w:p>
    <w:bookmarkStart w:id="23" w:name="policy-index"/>
    <w:p>
      <w:pPr>
        <w:pStyle w:val="Heading2"/>
      </w:pPr>
      <w:r>
        <w:t xml:space="preserve">§1 — Policy Index</w:t>
      </w:r>
    </w:p>
    <w:p>
      <w:pPr>
        <w:pStyle w:val="FirstParagraph"/>
      </w:pPr>
      <w:r>
        <w:t xml:space="preserve">10 thematic policies + 3 reference files. Active files live at the top level of</w:t>
      </w:r>
      <w:r>
        <w:t xml:space="preserve"> </w:t>
      </w:r>
      <w:r>
        <w:rPr>
          <w:rStyle w:val="VerbatimChar"/>
        </w:rPr>
        <w:t xml:space="preserve">New Policy Docs/</w:t>
      </w:r>
      <w:r>
        <w:t xml:space="preserve">; older single-topic files are in</w:t>
      </w:r>
      <w:r>
        <w:t xml:space="preserve"> </w:t>
      </w:r>
      <w:r>
        <w:rPr>
          <w:rStyle w:val="VerbatimChar"/>
        </w:rPr>
        <w:t xml:space="preserve">New Policy Docs/_archive/</w:t>
      </w:r>
      <w:r>
        <w:t xml:space="preserve"> </w:t>
      </w:r>
      <w:r>
        <w:t xml:space="preserve">for historical reference.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governance-and-risk-management.md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Master security &amp; data-governance framework, annual risk assessment, ERM, records retention, HR/sanctions anchor, assurance program. The landing policy.</w:t>
            </w:r>
          </w:p>
        </w:tc>
        <w:tc>
          <w:tcPr/>
          <w:p>
            <w:pPr>
              <w:pStyle w:val="Compact"/>
            </w:pPr>
            <w:r>
              <w:t xml:space="preserve">Security Officer + Privacy Officer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phi-use-and-disclosure.md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Minimum Necessary Rule, permitted PHI uses &amp; disclosures, de-identification (Safe Harbor), Limited Data Sets, Marketing &amp; Patient Communications.</w:t>
            </w:r>
          </w:p>
        </w:tc>
        <w:tc>
          <w:tcPr/>
          <w:p>
            <w:pPr>
              <w:pStyle w:val="Compact"/>
            </w:pPr>
            <w:r>
              <w:t xml:space="preserve">Privacy Officer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patient-rights.md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Patient rights to access (30-day), amendment (60-day), and accounting of disclosures (6-year window).</w:t>
            </w:r>
          </w:p>
        </w:tc>
        <w:tc>
          <w:tcPr/>
          <w:p>
            <w:pPr>
              <w:pStyle w:val="Compact"/>
            </w:pPr>
            <w:r>
              <w:t xml:space="preserve">Privacy Officer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technical-safeguards.md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Access control, MFA, password storage, encryption (FIPS 140-2 / NIST SP 800-111), workstation use, remote access, device &amp; media management, session/token, logging cadence.</w:t>
            </w:r>
          </w:p>
        </w:tc>
        <w:tc>
          <w:tcPr/>
          <w:p>
            <w:pPr>
              <w:pStyle w:val="Compact"/>
            </w:pPr>
            <w:r>
              <w:t xml:space="preserve">Security Officer + CTO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operational-safeguards.md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Admin &amp; physical safeguards (oral/fax/email/text/voicemail), paper documents, contingency planning, DR testing, pandemic plan, multi-vendor resiliency.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incident-and-breach-response.md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incident detection (24h Security Officer investigation), tamper-evident log, breach determination (48h internal report), patient/HHS notification (60-day rule).</w:t>
            </w:r>
          </w:p>
        </w:tc>
        <w:tc>
          <w:tcPr/>
          <w:p>
            <w:pPr>
              <w:pStyle w:val="Compact"/>
            </w:pPr>
            <w:r>
              <w:t xml:space="preserve">Security Officer + Privacy Officer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vendor-and-business-associates.md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Vendor risk management, BAA identification &amp; execution, subcontractor/Nth-party flow-down, Cybersecurity Supply Chain Risk Management (C-SCRM).</w:t>
            </w:r>
          </w:p>
        </w:tc>
        <w:tc>
          <w:tcPr/>
          <w:p>
            <w:pPr>
              <w:pStyle w:val="Compact"/>
            </w:pPr>
            <w:r>
              <w:t xml:space="preserve">Privacy Officer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acceptable-use-and-byod.md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Acceptable use, BYOD eligibility &amp; registration, Mobile Device Management (MDM) enrollment, lost/stolen device protocol, offboarding wipe.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network-and-cloud-security.md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Network architecture (Aptible/AWS/Cloudflare), IAM &amp; SSO posture, secrets management, VPC/subnet design, wireless, S3 posture, GuardDuty/Detection, IaC, AWS-specific IR.</w:t>
            </w:r>
          </w:p>
        </w:tc>
        <w:tc>
          <w:tcPr/>
          <w:p>
            <w:pPr>
              <w:pStyle w:val="Compact"/>
            </w:pPr>
            <w:r>
              <w:t xml:space="preserve">Security Officer + CTO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ai-and-ml-governance.md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AI tool approval &amp; inventory, prohibited use of public LLMs with PHI, clinical AI validation, engineering AI guardrails, patient transparency.</w:t>
            </w:r>
          </w:p>
        </w:tc>
        <w:tc>
          <w:tcPr/>
          <w:p>
            <w:pPr>
              <w:pStyle w:val="Compact"/>
            </w:pPr>
            <w:r>
              <w:t xml:space="preserve">Security Officer + CTO + Privacy Officer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sdlc-and-asset-lifecycle.md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Secure SDLC, change management, patch SLA (7d Critical / 30d High), code integrity, secure coding standards (OWASP ASVS).</w:t>
            </w:r>
          </w:p>
        </w:tc>
        <w:tc>
          <w:tcPr/>
          <w:p>
            <w:pPr>
              <w:pStyle w:val="Compact"/>
            </w:pPr>
            <w:r>
              <w:t xml:space="preserve">CTO + Security Officer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hipaa-definitions.md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Glossary of HIPAA terms (PHI, ePHI, Business Associate, Designated Record Set, etc.) referenced by all other policies.</w:t>
            </w:r>
          </w:p>
        </w:tc>
        <w:tc>
          <w:tcPr/>
          <w:p>
            <w:pPr>
              <w:pStyle w:val="Compact"/>
            </w:pPr>
            <w:r>
              <w:t xml:space="preserve">Privacy Officer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platform-and-access-matrix.md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Inventory of every platform / SaaS subscription, who has access, BAA status. The xlsx in</w:t>
            </w:r>
            <w:r>
              <w:t xml:space="preserve"> </w:t>
            </w:r>
            <w:r>
              <w:rPr>
                <w:rStyle w:val="VerbatimChar"/>
              </w:rPr>
              <w:t xml:space="preserve">Policy Docs/</w:t>
            </w:r>
            <w:r>
              <w:t xml:space="preserve"> </w:t>
            </w:r>
            <w:r>
              <w:t xml:space="preserve">is the easier editable source.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</w:tr>
    </w:tbl>
    <w:p>
      <w:pPr>
        <w:pStyle w:val="BodyText"/>
      </w:pPr>
      <w:r>
        <w:rPr>
          <w:b/>
          <w:bCs/>
        </w:rPr>
        <w:t xml:space="preserve">Plus 1 TODO</w:t>
      </w:r>
      <w:r>
        <w:t xml:space="preserve"> </w:t>
      </w:r>
      <w:r>
        <w:t xml:space="preserve">—</w:t>
      </w:r>
      <w:r>
        <w:t xml:space="preserve"> </w:t>
      </w:r>
      <w:hyperlink r:id="rId22">
        <w:r>
          <w:rPr>
            <w:rStyle w:val="Hyperlink"/>
          </w:rPr>
          <w:t xml:space="preserve">PATIENT-NOTICE-TODO.md</w:t>
        </w:r>
      </w:hyperlink>
      <w:r>
        <w:t xml:space="preserve">: a patient-facing Notice of Privacy Practices is missing from this repo and needs to be authored (45 CFR §164.520).</w:t>
      </w:r>
    </w:p>
    <w:p>
      <w:pPr>
        <w:pStyle w:val="BodyText"/>
      </w:pPr>
      <w:r>
        <w:rPr>
          <w:b/>
          <w:bCs/>
        </w:rPr>
        <w:t xml:space="preserve">Plus 1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forms/</w:t>
      </w:r>
      <w:r>
        <w:rPr>
          <w:b/>
          <w:bCs/>
        </w:rPr>
        <w:t xml:space="preserve"> </w:t>
      </w:r>
      <w:r>
        <w:rPr>
          <w:b/>
          <w:bCs/>
        </w:rPr>
        <w:t xml:space="preserve">subfolder</w:t>
      </w:r>
      <w:r>
        <w:t xml:space="preserve"> </w:t>
      </w:r>
      <w:r>
        <w:t xml:space="preserve">— fillable templates extracted from the old breach notification policy: individual notification letter, media notification (≥500 residents), HHS breach report.</w:t>
      </w:r>
    </w:p>
    <w:p>
      <w:r>
        <w:pict>
          <v:rect style="width:0;height:1.5pt" o:hralign="center" o:hrstd="t" o:hr="t"/>
        </w:pict>
      </w:r>
    </w:p>
    <w:bookmarkEnd w:id="23"/>
    <w:bookmarkStart w:id="29" w:name="hipaa-compliance-calendar"/>
    <w:p>
      <w:pPr>
        <w:pStyle w:val="Heading2"/>
      </w:pPr>
      <w:r>
        <w:t xml:space="preserve">§2 — HIPAA Compliance Calendar</w:t>
      </w:r>
    </w:p>
    <w:p>
      <w:pPr>
        <w:pStyle w:val="FirstParagraph"/>
      </w:pPr>
      <w:r>
        <w:t xml:space="preserve">Each row:</w:t>
      </w:r>
      <w:r>
        <w:t xml:space="preserve"> </w:t>
      </w:r>
      <w:r>
        <w:rPr>
          <w:b/>
          <w:bCs/>
        </w:rPr>
        <w:t xml:space="preserve">Task · Source policy · Owner · Notes / target window.</w:t>
      </w:r>
      <w:r>
        <w:t xml:space="preserve"> </w:t>
      </w:r>
      <w:r>
        <w:t xml:space="preserve">Use this as a checklist.</w:t>
      </w:r>
    </w:p>
    <w:bookmarkStart w:id="24" w:name="annual"/>
    <w:p>
      <w:pPr>
        <w:pStyle w:val="Heading3"/>
      </w:pPr>
      <w:r>
        <w:t xml:space="preserve">Annual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Conduct full HIPAA security risk assessment; document threats, vulnerabilities, likelihood, impact; produce mitigation plan; present to Risk Review Committee (and Board if material).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governance-and-risk-management.md</w:t>
              </w:r>
            </w:hyperlink>
            <w:r>
              <w:t xml:space="preserve"> </w:t>
            </w: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and refresh every policy in</w:t>
            </w:r>
            <w:r>
              <w:t xml:space="preserve"> </w:t>
            </w:r>
            <w:r>
              <w:rPr>
                <w:rStyle w:val="VerbatimChar"/>
              </w:rPr>
              <w:t xml:space="preserve">New Policy Docs/</w:t>
            </w:r>
            <w:r>
              <w:t xml:space="preserve">; update</w:t>
            </w:r>
            <w:r>
              <w:t xml:space="preserve"> </w:t>
            </w:r>
            <w:r>
              <w:rPr>
                <w:rStyle w:val="VerbatimChar"/>
              </w:rPr>
              <w:t xml:space="preserve">last_reviewed:</w:t>
            </w:r>
            <w:r>
              <w:t xml:space="preserve"> </w:t>
            </w:r>
            <w:r>
              <w:t xml:space="preserve">frontmatter; re-sign.</w:t>
            </w:r>
          </w:p>
        </w:tc>
        <w:tc>
          <w:tcPr/>
          <w:p>
            <w:pPr>
              <w:pStyle w:val="Compact"/>
            </w:pPr>
            <w:r>
              <w:t xml:space="preserve">All policies</w:t>
            </w:r>
          </w:p>
        </w:tc>
        <w:tc>
          <w:tcPr/>
          <w:p>
            <w:pPr>
              <w:pStyle w:val="Compact"/>
            </w:pPr>
            <w:r>
              <w:t xml:space="preserve">Privacy Officer + Security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Workforce HIPAA training refresh for all personnel.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governance-and-risk-management.md</w:t>
              </w:r>
            </w:hyperlink>
            <w:r>
              <w:t xml:space="preserve"> </w:t>
            </w:r>
            <w:r>
              <w:t xml:space="preserve">§IV</w:t>
            </w:r>
          </w:p>
        </w:tc>
        <w:tc>
          <w:tcPr/>
          <w:p>
            <w:pPr>
              <w:pStyle w:val="Compact"/>
            </w:pPr>
            <w:r>
              <w:t xml:space="preserve">Privacy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Prepare annual privacy &amp; security report and submit to the CEO.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incident-and-breach-response.md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Officer + Privacy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the contingency plan end-to-end (failover, restoration, emergency operations) and document results.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operational-safeguards.md</w:t>
              </w:r>
            </w:hyperlink>
            <w:r>
              <w:t xml:space="preserve"> </w:t>
            </w: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every active Business Associate Agreement: vendor still in scope, renewal date current, subcontractor list accurate.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vendor-and-business-associates.md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Privacy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the platform &amp; access matrix end-to-end: every listed app still in use, every role’s access still correct, every BAA-required vendor still has one signed.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platform-and-access-matrix.md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penetration test or equivalent assurance activity.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governance-and-risk-management.md</w:t>
              </w:r>
            </w:hyperlink>
            <w:r>
              <w:t xml:space="preserve"> </w:t>
            </w:r>
            <w:r>
              <w:t xml:space="preserve">§8 Assurance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Deeper AI inventory review including bias / fairness assessment for clinical AI.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ai-and-ml-governance.md</w:t>
              </w:r>
            </w:hyperlink>
            <w:r>
              <w:t xml:space="preserve"> </w:t>
            </w:r>
            <w:r>
              <w:t xml:space="preserve">§3(e)</w:t>
            </w:r>
          </w:p>
        </w:tc>
        <w:tc>
          <w:tcPr/>
          <w:p>
            <w:pPr>
              <w:pStyle w:val="Compact"/>
            </w:pPr>
            <w:r>
              <w:t xml:space="preserve">Security Officer + clinical lead</w:t>
            </w:r>
          </w:p>
        </w:tc>
      </w:tr>
    </w:tbl>
    <w:bookmarkEnd w:id="24"/>
    <w:bookmarkStart w:id="25" w:name="quarterly"/>
    <w:p>
      <w:pPr>
        <w:pStyle w:val="Heading3"/>
      </w:pPr>
      <w:r>
        <w:t xml:space="preserve">Quarterly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backup procedure documentation and update if procedures or vendors have changed.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operational-safeguards.md</w:t>
              </w:r>
            </w:hyperlink>
            <w:r>
              <w:t xml:space="preserve"> </w:t>
            </w: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access review: walk the platform matrix, confirm every account is still needed; revoke stale access.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governance-and-risk-management.md</w:t>
              </w:r>
            </w:hyperlink>
            <w:r>
              <w:t xml:space="preserve">,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platform-and-access-matrix.md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scan / patch review across infrastructure and endpoints.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sdlc-and-asset-lifecycle.md</w:t>
              </w:r>
            </w:hyperlink>
            <w:r>
              <w:t xml:space="preserve"> </w:t>
            </w: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t xml:space="preserve">Security Officer + 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Tabletop drill of an incident-response scenario (e.g., ransomware, lost laptop, phishing).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incident-and-breach-response.md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tool inventory review — confirm every AI tool listed in platform matrix is still in use; retire unused tools.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ai-and-ml-governance.md</w:t>
              </w:r>
            </w:hyperlink>
            <w:r>
              <w:t xml:space="preserve"> </w:t>
            </w:r>
            <w:r>
              <w:t xml:space="preserve">§3(e)</w:t>
            </w:r>
          </w:p>
        </w:tc>
        <w:tc>
          <w:tcPr/>
          <w:p>
            <w:pPr>
              <w:pStyle w:val="Compact"/>
            </w:pPr>
            <w:r>
              <w:t xml:space="preserve">Security Officer + CTO</w:t>
            </w:r>
          </w:p>
        </w:tc>
      </w:tr>
    </w:tbl>
    <w:bookmarkEnd w:id="25"/>
    <w:bookmarkStart w:id="26" w:name="monthly"/>
    <w:p>
      <w:pPr>
        <w:pStyle w:val="Heading3"/>
      </w:pPr>
      <w:r>
        <w:t xml:space="preserve">Monthly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Spot-check audit logs (Aptible, AWS CloudWatch, admin console) for anomalies.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technical-safeguards.md</w:t>
              </w:r>
            </w:hyperlink>
            <w:r>
              <w:t xml:space="preserve"> </w:t>
            </w:r>
            <w:r>
              <w:t xml:space="preserve">§7 Logging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Verify a recent backup is restorable (test restore in non-production environment).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operational-safeguards.md</w:t>
              </w:r>
            </w:hyperlink>
            <w:r>
              <w:t xml:space="preserve"> </w:t>
            </w:r>
            <w:r>
              <w:t xml:space="preserve">§4</w:t>
            </w:r>
          </w:p>
        </w:tc>
        <w:tc>
          <w:tcPr/>
          <w:p>
            <w:pPr>
              <w:pStyle w:val="Compact"/>
            </w:pPr>
            <w:r>
              <w:t xml:space="preserve">Security Officer + 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no terminated employees still have active credentials in any system on the platform matrix.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technical-safeguards.md</w:t>
              </w:r>
            </w:hyperlink>
            <w:r>
              <w:t xml:space="preserve"> </w:t>
            </w:r>
            <w:r>
              <w:t xml:space="preserve">§6 Termination Checklist</w:t>
            </w:r>
          </w:p>
        </w:tc>
        <w:tc>
          <w:tcPr/>
          <w:p>
            <w:pPr>
              <w:pStyle w:val="Compact"/>
            </w:pPr>
            <w:r>
              <w:t xml:space="preserve">Security Officer</w:t>
            </w:r>
          </w:p>
        </w:tc>
      </w:tr>
    </w:tbl>
    <w:bookmarkEnd w:id="26"/>
    <w:bookmarkStart w:id="28" w:name="event-driven"/>
    <w:p>
      <w:pPr>
        <w:pStyle w:val="Heading3"/>
      </w:pPr>
      <w:r>
        <w:t xml:space="preserve">Event-driven</w:t>
      </w:r>
    </w:p>
    <w:p>
      <w:pPr>
        <w:pStyle w:val="FirstParagraph"/>
      </w:pPr>
      <w:r>
        <w:t xml:space="preserve">These are deadlines triggered by a specific event — not on a schedule, but missing them is a compliance failure.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Deadline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Personnel becomes aware of a suspected breach</w:t>
            </w:r>
          </w:p>
        </w:tc>
        <w:tc>
          <w:tcPr/>
          <w:p>
            <w:pPr>
              <w:pStyle w:val="Compact"/>
            </w:pPr>
            <w:r>
              <w:t xml:space="preserve">Report to Privacy Officer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48 hours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incident-and-breach-response.md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Confirmed breach of unsecured PHI</w:t>
            </w:r>
          </w:p>
        </w:tc>
        <w:tc>
          <w:tcPr/>
          <w:p>
            <w:pPr>
              <w:pStyle w:val="Compact"/>
            </w:pPr>
            <w:r>
              <w:t xml:space="preserve">Notify affected individuals and applicable agencies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60 days from Date of Discovery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incident-and-breach-response.md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Patient submits request for accounting of disclosures</w:t>
            </w:r>
          </w:p>
        </w:tc>
        <w:tc>
          <w:tcPr/>
          <w:p>
            <w:pPr>
              <w:pStyle w:val="Compact"/>
            </w:pPr>
            <w:r>
              <w:t xml:space="preserve">Transmit request to Privacy Officer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24 hours of receipt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patient-rights.md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Patient submits request for accounting of disclosures</w:t>
            </w:r>
          </w:p>
        </w:tc>
        <w:tc>
          <w:tcPr/>
          <w:p>
            <w:pPr>
              <w:pStyle w:val="Compact"/>
            </w:pPr>
            <w:r>
              <w:t xml:space="preserve">Provide accounting (or written denial)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60 days</w:t>
            </w:r>
            <w:r>
              <w:t xml:space="preserve"> </w:t>
            </w:r>
            <w:r>
              <w:t xml:space="preserve">(30-day extension allowed)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patient-rights.md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Patient submits records access request</w:t>
            </w:r>
          </w:p>
        </w:tc>
        <w:tc>
          <w:tcPr/>
          <w:p>
            <w:pPr>
              <w:pStyle w:val="Compact"/>
            </w:pPr>
            <w:r>
              <w:t xml:space="preserve">Provide access / copies (or written denial)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30 days</w:t>
            </w:r>
            <w:r>
              <w:t xml:space="preserve"> </w:t>
            </w:r>
            <w:r>
              <w:t xml:space="preserve">(30-day extension allowed)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patient-rights.md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Patient submits amendment request</w:t>
            </w:r>
          </w:p>
        </w:tc>
        <w:tc>
          <w:tcPr/>
          <w:p>
            <w:pPr>
              <w:pStyle w:val="Compact"/>
            </w:pPr>
            <w:r>
              <w:t xml:space="preserve">Act on request (amend or deny in writing)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60 days</w:t>
            </w:r>
            <w:r>
              <w:t xml:space="preserve"> </w:t>
            </w:r>
            <w:r>
              <w:t xml:space="preserve">(30-day extension allowed)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patient-rights.md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Security incident reported</w:t>
            </w:r>
          </w:p>
        </w:tc>
        <w:tc>
          <w:tcPr/>
          <w:p>
            <w:pPr>
              <w:pStyle w:val="Compact"/>
            </w:pPr>
            <w:r>
              <w:t xml:space="preserve">Preliminary investigation by Security Officer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24 hours of report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incident-and-breach-response.md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New hire / contractor starts</w:t>
            </w:r>
          </w:p>
        </w:tc>
        <w:tc>
          <w:tcPr/>
          <w:p>
            <w:pPr>
              <w:pStyle w:val="Compact"/>
            </w:pPr>
            <w:r>
              <w:t xml:space="preserve">HIPAA training and policy attestation before PHI access</w:t>
            </w:r>
          </w:p>
        </w:tc>
        <w:tc>
          <w:tcPr/>
          <w:p>
            <w:pPr>
              <w:pStyle w:val="Compact"/>
            </w:pPr>
            <w:r>
              <w:t xml:space="preserve">Before access granted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governance-and-risk-management.md</w:t>
              </w:r>
            </w:hyperlink>
            <w:r>
              <w:t xml:space="preserve"> </w:t>
            </w:r>
            <w:r>
              <w:t xml:space="preserve">§IV,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acceptable-use-and-byod.md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New device touches PHI</w:t>
            </w:r>
          </w:p>
        </w:tc>
        <w:tc>
          <w:tcPr/>
          <w:p>
            <w:pPr>
              <w:pStyle w:val="Compact"/>
            </w:pPr>
            <w:r>
              <w:t xml:space="preserve">MDM enrollment + signed BYOD agreement</w:t>
            </w:r>
          </w:p>
        </w:tc>
        <w:tc>
          <w:tcPr/>
          <w:p>
            <w:pPr>
              <w:pStyle w:val="Compact"/>
            </w:pPr>
            <w:r>
              <w:t xml:space="preserve">Before access granted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acceptable-use-and-byod.md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New vendor / Business Associate engaged</w:t>
            </w:r>
          </w:p>
        </w:tc>
        <w:tc>
          <w:tcPr/>
          <w:p>
            <w:pPr>
              <w:pStyle w:val="Compact"/>
            </w:pPr>
            <w:r>
              <w:t xml:space="preserve">Execute signed BAA before PHI access</w:t>
            </w:r>
          </w:p>
        </w:tc>
        <w:tc>
          <w:tcPr/>
          <w:p>
            <w:pPr>
              <w:pStyle w:val="Compact"/>
            </w:pPr>
            <w:r>
              <w:t xml:space="preserve">Before access granted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vendor-and-business-associates.md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New vendor / Business Associate engaged</w:t>
            </w:r>
          </w:p>
        </w:tc>
        <w:tc>
          <w:tcPr/>
          <w:p>
            <w:pPr>
              <w:pStyle w:val="Compact"/>
            </w:pPr>
            <w:r>
              <w:t xml:space="preserve">Complete ECH-style security assessment</w:t>
            </w:r>
          </w:p>
        </w:tc>
        <w:tc>
          <w:tcPr/>
          <w:p>
            <w:pPr>
              <w:pStyle w:val="Compact"/>
            </w:pPr>
            <w:r>
              <w:t xml:space="preserve">Before contract signature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VerbatimChar"/>
                </w:rPr>
                <w:t xml:space="preserve">ECH Security Assessment Questions - Questions.csv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New AI tool proposed</w:t>
            </w:r>
          </w:p>
        </w:tc>
        <w:tc>
          <w:tcPr/>
          <w:p>
            <w:pPr>
              <w:pStyle w:val="Compact"/>
            </w:pPr>
            <w:r>
              <w:t xml:space="preserve">Security + clinical/ops approval; add to platform matrix</w:t>
            </w:r>
          </w:p>
        </w:tc>
        <w:tc>
          <w:tcPr/>
          <w:p>
            <w:pPr>
              <w:pStyle w:val="Compact"/>
            </w:pPr>
            <w:r>
              <w:t xml:space="preserve">Before any Company-data use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ai-and-ml-governance.md</w:t>
              </w:r>
            </w:hyperlink>
            <w:r>
              <w:t xml:space="preserve"> </w:t>
            </w:r>
            <w:r>
              <w:t xml:space="preserve">§3(a)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termination / role change removing access</w:t>
            </w:r>
          </w:p>
        </w:tc>
        <w:tc>
          <w:tcPr/>
          <w:p>
            <w:pPr>
              <w:pStyle w:val="Compact"/>
            </w:pPr>
            <w:r>
              <w:t xml:space="preserve">Deactivate password, terminate remote access, archive encryption keys, recover Company hardware, MDM-wipe BYOD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Immediately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technical-safeguards.md</w:t>
              </w:r>
            </w:hyperlink>
            <w:r>
              <w:t xml:space="preserve"> </w:t>
            </w: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Lost / stolen device</w:t>
            </w:r>
          </w:p>
        </w:tc>
        <w:tc>
          <w:tcPr/>
          <w:p>
            <w:pPr>
              <w:pStyle w:val="Compact"/>
            </w:pPr>
            <w:r>
              <w:t xml:space="preserve">Report to Security Officer; authorize remote wipe; breach assessment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24 hours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acceptable-use-and-byod.md</w:t>
              </w:r>
            </w:hyperlink>
            <w:r>
              <w:t xml:space="preserve"> </w:t>
            </w: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change to production system</w:t>
            </w:r>
          </w:p>
        </w:tc>
        <w:tc>
          <w:tcPr/>
          <w:p>
            <w:pPr>
              <w:pStyle w:val="Compact"/>
            </w:pPr>
            <w:r>
              <w:t xml:space="preserve">Change request, security review, deployment plan, rollback plan, approval</w:t>
            </w:r>
          </w:p>
        </w:tc>
        <w:tc>
          <w:tcPr/>
          <w:p>
            <w:pPr>
              <w:pStyle w:val="Compact"/>
            </w:pPr>
            <w:r>
              <w:t xml:space="preserve">Before deploy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sdlc-and-asset-lifecycle.md</w:t>
              </w:r>
            </w:hyperlink>
            <w:r>
              <w:t xml:space="preserve"> </w:t>
            </w:r>
            <w:r>
              <w:t xml:space="preserve">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 security patch (CVSS 9.0+ or KEV-listed)</w:t>
            </w:r>
          </w:p>
        </w:tc>
        <w:tc>
          <w:tcPr/>
          <w:p>
            <w:pPr>
              <w:pStyle w:val="Compact"/>
            </w:pPr>
            <w:r>
              <w:t xml:space="preserve">Apply per patch SLA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7 calendar days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sdlc-and-asset-lifecycle.md</w:t>
              </w:r>
            </w:hyperlink>
            <w:r>
              <w:t xml:space="preserve"> </w:t>
            </w:r>
            <w:r>
              <w:t xml:space="preserve">§6.2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responsibility-matrix"/>
    <w:p>
      <w:pPr>
        <w:pStyle w:val="Heading2"/>
      </w:pPr>
      <w:r>
        <w:t xml:space="preserve">§3 — Responsibility Matrix</w:t>
      </w:r>
    </w:p>
    <w:p>
      <w:pPr>
        <w:pStyle w:val="FirstParagraph"/>
      </w:pPr>
      <w:r>
        <w:t xml:space="preserve">Roles:</w:t>
      </w:r>
      <w:r>
        <w:t xml:space="preserve"> </w:t>
      </w:r>
      <w:r>
        <w:rPr>
          <w:b/>
          <w:bCs/>
        </w:rPr>
        <w:t xml:space="preserve">PrO</w:t>
      </w:r>
      <w:r>
        <w:t xml:space="preserve"> </w:t>
      </w:r>
      <w:r>
        <w:t xml:space="preserve">= Privacy Officer ·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= Security Officer ·</w:t>
      </w:r>
      <w:r>
        <w:t xml:space="preserve"> </w:t>
      </w:r>
      <w:r>
        <w:rPr>
          <w:b/>
          <w:bCs/>
        </w:rPr>
        <w:t xml:space="preserve">CTO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CEO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PM</w:t>
      </w:r>
      <w:r>
        <w:t xml:space="preserve"> </w:t>
      </w:r>
      <w:r>
        <w:t xml:space="preserve">= Practice Manager.</w:t>
      </w:r>
    </w:p>
    <w:p>
      <w:pPr>
        <w:pStyle w:val="BodyText"/>
      </w:pPr>
      <w:r>
        <w:t xml:space="preserve">Codes: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= Responsible (does the work) ·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= Accountable (owns the outcome, signs off) ·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= Consulted ·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= Informed.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SO</w:t>
            </w:r>
          </w:p>
        </w:tc>
        <w:tc>
          <w:tcPr/>
          <w:p>
            <w:pPr>
              <w:pStyle w:val="Compact"/>
            </w:pPr>
            <w:r>
              <w:t xml:space="preserve">CTO</w:t>
            </w:r>
          </w:p>
        </w:tc>
        <w:tc>
          <w:tcPr/>
          <w:p>
            <w:pPr>
              <w:pStyle w:val="Compact"/>
            </w:pPr>
            <w:r>
              <w:t xml:space="preserve">CEO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governance-and-risk-management.md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phi-use-and-disclosure.md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patient-rights.md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technical-safeguards.md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operational-safeguards.md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incident-and-breach-response.md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vendor-and-business-associates.md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acceptable-use-and-byod.md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network-and-cloud-security.md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ai-and-ml-governance.md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sdlc-and-asset-lifecycle.md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platform-and-access-matrix.md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Annual report to CEO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ECH submission (vendor security questionnaire response)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30" w:name="signature-sign-off"/>
    <w:p>
      <w:pPr>
        <w:pStyle w:val="Heading3"/>
      </w:pPr>
      <w:r>
        <w:t xml:space="preserve">Signature &amp; sign-off</w:t>
      </w:r>
    </w:p>
    <w:p>
      <w:pPr>
        <w:pStyle w:val="FirstParagraph"/>
      </w:pPr>
      <w:r>
        <w:t xml:space="preserve">At the end of each annual review cycle, both officers should sign off: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Officer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Officer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Chief Executive Officer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  <w:tc>
          <w:tcPr/>
          <w:p>
            <w:pPr>
              <w:pStyle w:val="Compact"/>
            </w:pPr>
            <w:r>
              <w:t xml:space="preserve">_______________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8" w:name="migration-notes-timeline"/>
    <w:p>
      <w:pPr>
        <w:pStyle w:val="Heading2"/>
      </w:pPr>
      <w:r>
        <w:t xml:space="preserve">Migration notes &amp; timeline</w:t>
      </w:r>
    </w:p>
    <w:p>
      <w:pPr>
        <w:pStyle w:val="FirstParagraph"/>
      </w:pPr>
      <w:r>
        <w:rPr>
          <w:b/>
          <w:bCs/>
        </w:rPr>
        <w:t xml:space="preserve">May 24, 2026</w:t>
      </w:r>
      <w:r>
        <w:t xml:space="preserve"> </w:t>
      </w:r>
      <w:r>
        <w:t xml:space="preserve">— Consolidated 24 single-topic files into 10 thematic files. The 20 archived originals are in</w:t>
      </w:r>
      <w:r>
        <w:t xml:space="preserve"> </w:t>
      </w:r>
      <w:hyperlink r:id="rId32">
        <w:r>
          <w:rPr>
            <w:rStyle w:val="VerbatimChar"/>
          </w:rPr>
          <w:t xml:space="preserve">New Policy Docs/_archive/</w:t>
        </w:r>
      </w:hyperlink>
      <w:r>
        <w:t xml:space="preserve"> </w:t>
      </w:r>
      <w:r>
        <w:t xml:space="preserve">for historical reference. Three originals stayed at the top level:</w:t>
      </w:r>
      <w:r>
        <w:t xml:space="preserve"> </w:t>
      </w:r>
      <w:r>
        <w:rPr>
          <w:rStyle w:val="VerbatimChar"/>
        </w:rPr>
        <w:t xml:space="preserve">hipaa-definitions.md</w:t>
      </w:r>
      <w:r>
        <w:t xml:space="preserve"> </w:t>
      </w:r>
      <w:r>
        <w:t xml:space="preserve">(glossary),</w:t>
      </w:r>
      <w:r>
        <w:t xml:space="preserve"> </w:t>
      </w:r>
      <w:r>
        <w:rPr>
          <w:rStyle w:val="VerbatimChar"/>
        </w:rPr>
        <w:t xml:space="preserve">platform-and-access-matrix.md</w:t>
      </w:r>
      <w:r>
        <w:t xml:space="preserve"> </w:t>
      </w:r>
      <w:r>
        <w:t xml:space="preserve">(reference table),</w:t>
      </w:r>
      <w:r>
        <w:t xml:space="preserve"> </w:t>
      </w:r>
      <w:r>
        <w:rPr>
          <w:rStyle w:val="VerbatimChar"/>
        </w:rPr>
        <w:t xml:space="preserve">sdlc-and-asset-lifecycle.md</w:t>
      </w:r>
      <w:r>
        <w:t xml:space="preserve"> </w:t>
      </w:r>
      <w:r>
        <w:t xml:space="preserve">(expanded with change management, patch SLA, and secure coding rather than merged).</w:t>
      </w:r>
    </w:p>
    <w:p>
      <w:pPr>
        <w:pStyle w:val="BodyText"/>
      </w:pPr>
      <w:r>
        <w:rPr>
          <w:b/>
          <w:bCs/>
        </w:rPr>
        <w:t xml:space="preserve">May 24, 2026</w:t>
      </w:r>
      <w:r>
        <w:t xml:space="preserve"> </w:t>
      </w:r>
      <w:r>
        <w:t xml:space="preserve">— Integrated the Millie Clinic COVID Policy into</w:t>
      </w:r>
      <w:r>
        <w:t xml:space="preserve"> </w:t>
      </w:r>
      <w:hyperlink r:id="rId13">
        <w:r>
          <w:rPr>
            <w:rStyle w:val="Hyperlink"/>
          </w:rPr>
          <w:t xml:space="preserve">operational-safeguards.md §A.9</w:t>
        </w:r>
      </w:hyperlink>
      <w:r>
        <w:t xml:space="preserve"> </w:t>
      </w:r>
      <w:r>
        <w:t xml:space="preserve">as the live implementation example of the generic pandemic plan in Appendix A. The COVID source had a</w:t>
      </w:r>
      <w:r>
        <w:t xml:space="preserve"> </w:t>
      </w:r>
      <w:r>
        <w:t xml:space="preserve">“GUIDANCE FOR STAFF: To Do…”</w:t>
      </w:r>
      <w:r>
        <w:t xml:space="preserve"> </w:t>
      </w:r>
      <w:r>
        <w:t xml:space="preserve">placeholder that was never filled in — that gap is logged in</w:t>
      </w:r>
      <w:r>
        <w:t xml:space="preserve"> </w:t>
      </w:r>
      <w:hyperlink r:id="rId33">
        <w:r>
          <w:rPr>
            <w:rStyle w:val="Hyperlink"/>
          </w:rPr>
          <w:t xml:space="preserve">TODO.md</w:t>
        </w:r>
      </w:hyperlink>
      <w:r>
        <w:t xml:space="preserve">.</w:t>
      </w:r>
    </w:p>
    <w:bookmarkStart w:id="34" w:name="key-findings-from-the-may-2026-work"/>
    <w:p>
      <w:pPr>
        <w:pStyle w:val="Heading3"/>
      </w:pPr>
      <w:r>
        <w:t xml:space="preserve">Key findings from the May 2026 work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privacy-policy.md</w:t>
      </w:r>
      <w:r>
        <w:rPr>
          <w:b/>
          <w:bCs/>
        </w:rPr>
        <w:t xml:space="preserve"> </w:t>
      </w:r>
      <w:r>
        <w:rPr>
          <w:b/>
          <w:bCs/>
        </w:rPr>
        <w:t xml:space="preserve">was a misnamed bundle</w:t>
      </w:r>
      <w:r>
        <w:t xml:space="preserve">, not a patient-facing Notice of Privacy Practices. Substantive content (including the Device &amp; Media Management Policy IT-004 that existed nowhere else) was rescued into</w:t>
      </w:r>
      <w:r>
        <w:t xml:space="preserve"> </w:t>
      </w:r>
      <w:hyperlink r:id="rId12">
        <w:r>
          <w:rPr>
            <w:rStyle w:val="Hyperlink"/>
          </w:rPr>
          <w:t xml:space="preserve">technical-safeguards.md</w:t>
        </w:r>
      </w:hyperlink>
      <w:r>
        <w:t xml:space="preserve">. A real NPP still needs to be authored — see</w:t>
      </w:r>
      <w:r>
        <w:t xml:space="preserve"> </w:t>
      </w:r>
      <w:hyperlink r:id="rId22">
        <w:r>
          <w:rPr>
            <w:rStyle w:val="Hyperlink"/>
          </w:rPr>
          <w:t xml:space="preserve">PATIENT-NOTICE-TODO.md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ECH Security Assessment surfaced critical gaps</w:t>
      </w:r>
      <w:r>
        <w:t xml:space="preserve">: MDM/BYOD, OWASP A02/A06/A07 remediations, pandemic plan, multi-vendor resiliency. Outstanding action items live in</w:t>
      </w:r>
      <w:r>
        <w:t xml:space="preserve"> </w:t>
      </w:r>
      <w:hyperlink r:id="rId33">
        <w:r>
          <w:rPr>
            <w:rStyle w:val="Hyperlink"/>
          </w:rPr>
          <w:t xml:space="preserve">TODO.md</w:t>
        </w:r>
      </w:hyperlink>
      <w:r>
        <w:t xml:space="preserve">. Three new policy areas were authored during consolidation to close compliance gaps: Acceptable Use &amp; BYOD, Network &amp; Cloud Security, AI &amp; ML Governance.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Policy Docs/AWS and Aptible Security Incident Management Policy.docx</w:t>
      </w:r>
      <w:r>
        <w:t xml:space="preserve"> </w:t>
      </w:r>
      <w:r>
        <w:t xml:space="preserve">was added late in the process and was not integrated during the May 2026 pass. Logged in</w:t>
      </w:r>
      <w:r>
        <w:t xml:space="preserve"> </w:t>
      </w:r>
      <w:hyperlink r:id="rId33">
        <w:r>
          <w:rPr>
            <w:rStyle w:val="Hyperlink"/>
          </w:rPr>
          <w:t xml:space="preserve">TODO.md</w:t>
        </w:r>
      </w:hyperlink>
      <w:r>
        <w:t xml:space="preserve"> </w:t>
      </w:r>
      <w:r>
        <w:t xml:space="preserve">for the next consolidation cycle.</w:t>
      </w:r>
    </w:p>
    <w:bookmarkEnd w:id="34"/>
    <w:bookmarkStart w:id="37" w:name="working-documents"/>
    <w:p>
      <w:pPr>
        <w:pStyle w:val="Heading3"/>
      </w:pPr>
      <w:r>
        <w:t xml:space="preserve">Working documents</w:t>
      </w:r>
    </w:p>
    <w:p>
      <w:pPr>
        <w:pStyle w:val="Compact"/>
        <w:numPr>
          <w:ilvl w:val="0"/>
          <w:numId w:val="1004"/>
        </w:numPr>
      </w:pPr>
      <w:hyperlink r:id="rId35">
        <w:r>
          <w:rPr>
            <w:rStyle w:val="Hyperlink"/>
          </w:rPr>
          <w:t xml:space="preserve">POLICY-VS-QUESTIONNAIRE-MAPPING.md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the current authoritative coverage matrix.</w:t>
      </w:r>
      <w:r>
        <w:t xml:space="preserve"> </w:t>
      </w:r>
      <w:r>
        <w:t xml:space="preserve">For each of the 182 ECH/SIG/OWASP/AWS questionnaire rows, lists which policy file and section covers it, the coverage rating, and any remaining gaps. Refresh whenever a policy changes or a new questionnaire arrives.</w:t>
      </w:r>
    </w:p>
    <w:p>
      <w:pPr>
        <w:pStyle w:val="Compact"/>
        <w:numPr>
          <w:ilvl w:val="0"/>
          <w:numId w:val="1004"/>
        </w:numPr>
      </w:pPr>
      <w:hyperlink r:id="rId36">
        <w:r>
          <w:rPr>
            <w:rStyle w:val="Hyperlink"/>
          </w:rPr>
          <w:t xml:space="preserve">CONSOLIDATION-PROPOSAL.md</w:t>
        </w:r>
      </w:hyperlink>
      <w:r>
        <w:t xml:space="preserve"> </w:t>
      </w:r>
      <w:r>
        <w:t xml:space="preserve">— historical rationale for the 24→10 consolidation. Status: EXECUTED. Keep for the</w:t>
      </w:r>
      <w:r>
        <w:t xml:space="preserve"> </w:t>
      </w:r>
      <w:r>
        <w:t xml:space="preserve">“why,”</w:t>
      </w:r>
      <w:r>
        <w:t xml:space="preserve"> </w:t>
      </w:r>
      <w:r>
        <w:t xml:space="preserve">but day-to-day questions go to the mapping doc above.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TODO.md</w:t>
        </w:r>
      </w:hyperlink>
      <w:r>
        <w:t xml:space="preserve"> </w:t>
      </w:r>
      <w:r>
        <w:t xml:space="preserve">— open compliance action items.</w:t>
      </w:r>
    </w:p>
    <w:p>
      <w:pPr>
        <w:pStyle w:val="FirstParagraph"/>
      </w:pPr>
      <w:r>
        <w:t xml:space="preserve">These working documents can be deleted (or moved to</w:t>
      </w:r>
      <w:r>
        <w:t xml:space="preserve"> </w:t>
      </w:r>
      <w:r>
        <w:rPr>
          <w:rStyle w:val="VerbatimChar"/>
        </w:rPr>
        <w:t xml:space="preserve">_archive/</w:t>
      </w:r>
      <w:r>
        <w:t xml:space="preserve">) once the first ECH submission is complete and no longer needs the supporting analysis.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CONSOLIDATION-PROPOSAL.docx" TargetMode="External" /><Relationship Type="http://schemas.openxmlformats.org/officeDocument/2006/relationships/hyperlink" Id="rId27" Target="ECH%20Security%20Assessment%20Questions%20-%20Questions.csv" TargetMode="External" /><Relationship Type="http://schemas.openxmlformats.org/officeDocument/2006/relationships/hyperlink" Id="rId22" Target="New%20Policy%20Docs/PATIENT-NOTICE-TODO.docx" TargetMode="External" /><Relationship Type="http://schemas.openxmlformats.org/officeDocument/2006/relationships/hyperlink" Id="rId32" Target="New%20Policy%20Docs/_archive/" TargetMode="External" /><Relationship Type="http://schemas.openxmlformats.org/officeDocument/2006/relationships/hyperlink" Id="rId16" Target="New%20Policy%20Docs/acceptable-use-and-byod.docx" TargetMode="External" /><Relationship Type="http://schemas.openxmlformats.org/officeDocument/2006/relationships/hyperlink" Id="rId18" Target="New%20Policy%20Docs/ai-and-ml-governance.docx" TargetMode="External" /><Relationship Type="http://schemas.openxmlformats.org/officeDocument/2006/relationships/hyperlink" Id="rId9" Target="New%20Policy%20Docs/governance-and-risk-management.docx" TargetMode="External" /><Relationship Type="http://schemas.openxmlformats.org/officeDocument/2006/relationships/hyperlink" Id="rId20" Target="New%20Policy%20Docs/hipaa-definitions.docx" TargetMode="External" /><Relationship Type="http://schemas.openxmlformats.org/officeDocument/2006/relationships/hyperlink" Id="rId14" Target="New%20Policy%20Docs/incident-and-breach-response.docx" TargetMode="External" /><Relationship Type="http://schemas.openxmlformats.org/officeDocument/2006/relationships/hyperlink" Id="rId17" Target="New%20Policy%20Docs/network-and-cloud-security.docx" TargetMode="External" /><Relationship Type="http://schemas.openxmlformats.org/officeDocument/2006/relationships/hyperlink" Id="rId13" Target="New%20Policy%20Docs/operational-safeguards.docx" TargetMode="External" /><Relationship Type="http://schemas.openxmlformats.org/officeDocument/2006/relationships/hyperlink" Id="rId11" Target="New%20Policy%20Docs/patient-rights.docx" TargetMode="External" /><Relationship Type="http://schemas.openxmlformats.org/officeDocument/2006/relationships/hyperlink" Id="rId10" Target="New%20Policy%20Docs/phi-use-and-disclosure.docx" TargetMode="External" /><Relationship Type="http://schemas.openxmlformats.org/officeDocument/2006/relationships/hyperlink" Id="rId21" Target="New%20Policy%20Docs/platform-and-access-matrix.docx" TargetMode="External" /><Relationship Type="http://schemas.openxmlformats.org/officeDocument/2006/relationships/hyperlink" Id="rId19" Target="New%20Policy%20Docs/sdlc-and-asset-lifecycle.docx" TargetMode="External" /><Relationship Type="http://schemas.openxmlformats.org/officeDocument/2006/relationships/hyperlink" Id="rId12" Target="New%20Policy%20Docs/technical-safeguards.docx" TargetMode="External" /><Relationship Type="http://schemas.openxmlformats.org/officeDocument/2006/relationships/hyperlink" Id="rId15" Target="New%20Policy%20Docs/vendor-and-business-associates.docx" TargetMode="External" /><Relationship Type="http://schemas.openxmlformats.org/officeDocument/2006/relationships/hyperlink" Id="rId35" Target="POLICY-VS-QUESTIONNAIRE-MAPPING.docx" TargetMode="External" /><Relationship Type="http://schemas.openxmlformats.org/officeDocument/2006/relationships/hyperlink" Id="rId33" Target="TODO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CONSOLIDATION-PROPOSAL.docx" TargetMode="External" /><Relationship Type="http://schemas.openxmlformats.org/officeDocument/2006/relationships/hyperlink" Id="rId27" Target="ECH%20Security%20Assessment%20Questions%20-%20Questions.csv" TargetMode="External" /><Relationship Type="http://schemas.openxmlformats.org/officeDocument/2006/relationships/hyperlink" Id="rId22" Target="New%20Policy%20Docs/PATIENT-NOTICE-TODO.docx" TargetMode="External" /><Relationship Type="http://schemas.openxmlformats.org/officeDocument/2006/relationships/hyperlink" Id="rId32" Target="New%20Policy%20Docs/_archive/" TargetMode="External" /><Relationship Type="http://schemas.openxmlformats.org/officeDocument/2006/relationships/hyperlink" Id="rId16" Target="New%20Policy%20Docs/acceptable-use-and-byod.docx" TargetMode="External" /><Relationship Type="http://schemas.openxmlformats.org/officeDocument/2006/relationships/hyperlink" Id="rId18" Target="New%20Policy%20Docs/ai-and-ml-governance.docx" TargetMode="External" /><Relationship Type="http://schemas.openxmlformats.org/officeDocument/2006/relationships/hyperlink" Id="rId9" Target="New%20Policy%20Docs/governance-and-risk-management.docx" TargetMode="External" /><Relationship Type="http://schemas.openxmlformats.org/officeDocument/2006/relationships/hyperlink" Id="rId20" Target="New%20Policy%20Docs/hipaa-definitions.docx" TargetMode="External" /><Relationship Type="http://schemas.openxmlformats.org/officeDocument/2006/relationships/hyperlink" Id="rId14" Target="New%20Policy%20Docs/incident-and-breach-response.docx" TargetMode="External" /><Relationship Type="http://schemas.openxmlformats.org/officeDocument/2006/relationships/hyperlink" Id="rId17" Target="New%20Policy%20Docs/network-and-cloud-security.docx" TargetMode="External" /><Relationship Type="http://schemas.openxmlformats.org/officeDocument/2006/relationships/hyperlink" Id="rId13" Target="New%20Policy%20Docs/operational-safeguards.docx" TargetMode="External" /><Relationship Type="http://schemas.openxmlformats.org/officeDocument/2006/relationships/hyperlink" Id="rId11" Target="New%20Policy%20Docs/patient-rights.docx" TargetMode="External" /><Relationship Type="http://schemas.openxmlformats.org/officeDocument/2006/relationships/hyperlink" Id="rId10" Target="New%20Policy%20Docs/phi-use-and-disclosure.docx" TargetMode="External" /><Relationship Type="http://schemas.openxmlformats.org/officeDocument/2006/relationships/hyperlink" Id="rId21" Target="New%20Policy%20Docs/platform-and-access-matrix.docx" TargetMode="External" /><Relationship Type="http://schemas.openxmlformats.org/officeDocument/2006/relationships/hyperlink" Id="rId19" Target="New%20Policy%20Docs/sdlc-and-asset-lifecycle.docx" TargetMode="External" /><Relationship Type="http://schemas.openxmlformats.org/officeDocument/2006/relationships/hyperlink" Id="rId12" Target="New%20Policy%20Docs/technical-safeguards.docx" TargetMode="External" /><Relationship Type="http://schemas.openxmlformats.org/officeDocument/2006/relationships/hyperlink" Id="rId15" Target="New%20Policy%20Docs/vendor-and-business-associates.docx" TargetMode="External" /><Relationship Type="http://schemas.openxmlformats.org/officeDocument/2006/relationships/hyperlink" Id="rId35" Target="POLICY-VS-QUESTIONNAIRE-MAPPING.docx" TargetMode="External" /><Relationship Type="http://schemas.openxmlformats.org/officeDocument/2006/relationships/hyperlink" Id="rId33" Target="TODO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</dc:title>
  <dc:creator/>
  <cp:keywords/>
  <dcterms:created xsi:type="dcterms:W3CDTF">2026-05-26T18:49:06Z</dcterms:created>
  <dcterms:modified xsi:type="dcterms:W3CDTF">2026-05-26T18:49:06Z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_reviewed">
    <vt:lpwstr>2026-05-24</vt:lpwstr>
  </property>
  <property fmtid="{D5CDD505-2E9C-101B-9397-08002B2CF9AE}" pid="3" name="owner">
    <vt:lpwstr>Privacy Officer + Security Officer (joint)</vt:lpwstr>
  </property>
</Properties>
</file>