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hipaa-definitions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HIPAA Definitions Policy</w:t>
            </w:r>
          </w:p>
        </w:tc>
        <w:tc>
          <w:tcPr/>
          <w:p>
            <w:pPr>
              <w:pStyle w:val="Compact"/>
            </w:pPr>
            <w:r>
              <w:rPr>
                <w:b/>
                <w:bCs/>
              </w:rPr>
              <w:t xml:space="preserve">Policy #</w:t>
            </w:r>
            <w:r>
              <w:t xml:space="preserve">: L-007</w:t>
            </w:r>
          </w:p>
        </w:tc>
      </w:tr>
      <w:tr>
        <w:tc>
          <w:tcPr/>
          <w:p>
            <w:pPr>
              <w:pStyle w:val="Compact"/>
            </w:pPr>
            <w:r>
              <w:rPr>
                <w:b/>
                <w:bCs/>
              </w:rPr>
              <w:t xml:space="preserve">Effective Date</w:t>
            </w:r>
            <w:r>
              <w:t xml:space="preserve">: May 18, 2022</w:t>
            </w:r>
          </w:p>
        </w:tc>
        <w:tc>
          <w:tcPr/>
          <w:p>
            <w:pPr>
              <w:pStyle w:val="Compact"/>
            </w:pPr>
            <w:r>
              <w:rPr>
                <w:b/>
                <w:bCs/>
              </w:rPr>
              <w:t xml:space="preserve">Last Revised</w:t>
            </w:r>
            <w:r>
              <w:t xml:space="preserve">: May 2, 2022</w:t>
            </w:r>
          </w:p>
        </w:tc>
      </w:tr>
    </w:tbl>
    <w:p>
      <w:pPr>
        <w:pStyle w:val="Compact"/>
        <w:numPr>
          <w:ilvl w:val="0"/>
          <w:numId w:val="1001"/>
        </w:numPr>
      </w:pPr>
      <w:r>
        <w:rPr>
          <w:b/>
          <w:bCs/>
        </w:rPr>
        <w:t xml:space="preserve">Scope</w:t>
      </w:r>
    </w:p>
    <w:p>
      <w:pPr>
        <w:pStyle w:val="FirstParagraph"/>
      </w:pPr>
      <w:r>
        <w:t xml:space="preserve">This Policy applies to all facilities and locations owned, operated, or managed by Millie, Inc.(“Company”), and all Companypersonnel. For purposes of this Policy, the term “personnel” includes all licensed professionals and staff who perform services on behalf of Company.</w:t>
      </w:r>
    </w:p>
    <w:p>
      <w:pPr>
        <w:pStyle w:val="Compact"/>
        <w:numPr>
          <w:ilvl w:val="0"/>
          <w:numId w:val="1002"/>
        </w:numPr>
      </w:pPr>
      <w:r>
        <w:rPr>
          <w:b/>
          <w:bCs/>
        </w:rPr>
        <w:t xml:space="preserve">Definitions</w:t>
      </w:r>
    </w:p>
    <w:p>
      <w:pPr>
        <w:pStyle w:val="Compact"/>
        <w:numPr>
          <w:ilvl w:val="0"/>
          <w:numId w:val="1002"/>
        </w:numPr>
      </w:pPr>
      <w:r>
        <w:t xml:space="preserve">“</w:t>
      </w:r>
      <w:r>
        <w:rPr>
          <w:i/>
          <w:iCs/>
        </w:rPr>
        <w:t xml:space="preserve">Business Associate</w:t>
      </w:r>
      <w:r>
        <w:t xml:space="preserve">” has the same meaning as the term “business associate” in 45 C.F.R. § 160.103.</w:t>
      </w:r>
    </w:p>
    <w:p>
      <w:pPr>
        <w:pStyle w:val="Compact"/>
        <w:numPr>
          <w:ilvl w:val="0"/>
          <w:numId w:val="1002"/>
        </w:numPr>
      </w:pPr>
      <w:r>
        <w:t xml:space="preserve">“</w:t>
      </w:r>
      <w:r>
        <w:rPr>
          <w:i/>
          <w:iCs/>
        </w:rPr>
        <w:t xml:space="preserve">Business Associate Agreement</w:t>
      </w:r>
      <w:r>
        <w:t xml:space="preserve">” means the written agreement required by HIPAA that is entered into by Company and a Business Associate regarding the use, disclosure, and maintenance of Company’s Protected Health Information.</w:t>
      </w:r>
    </w:p>
    <w:p>
      <w:pPr>
        <w:pStyle w:val="Compact"/>
        <w:numPr>
          <w:ilvl w:val="0"/>
          <w:numId w:val="1002"/>
        </w:numPr>
      </w:pPr>
      <w:r>
        <w:t xml:space="preserve">“</w:t>
      </w:r>
      <w:r>
        <w:rPr>
          <w:i/>
          <w:iCs/>
        </w:rPr>
        <w:t xml:space="preserve">Breach</w:t>
      </w:r>
      <w:r>
        <w:t xml:space="preserve">” means the acquisition, access, use, or disclosure of PHI (defined below) in a manner not permitted by the HIPAA privacy regulations that compromises the security or privacy of PHI.</w:t>
      </w:r>
      <w:hyperlink w:anchor="footnote-0">
        <w:r>
          <w:rPr>
            <w:rStyle w:val="Hyperlink"/>
          </w:rPr>
          <w:t xml:space="preserve">[1]</w:t>
        </w:r>
      </w:hyperlink>
      <w:r>
        <w:t xml:space="preserve"> </w:t>
      </w:r>
      <w:r>
        <w:t xml:space="preserve">An acquisition, access, use, or disclosure of PHI in a manner not permitted by the HIPAA privacy regulations is presumed to be a Breach unless it is demonstrated that there is a low probability that the PHI has been compromised based on a risk assessment.</w:t>
      </w:r>
    </w:p>
    <w:p>
      <w:pPr>
        <w:pStyle w:val="Compact"/>
        <w:numPr>
          <w:ilvl w:val="0"/>
          <w:numId w:val="1002"/>
        </w:numPr>
      </w:pPr>
      <w:r>
        <w:t xml:space="preserve">“</w:t>
      </w:r>
      <w:r>
        <w:rPr>
          <w:i/>
          <w:iCs/>
        </w:rPr>
        <w:t xml:space="preserve">Company Computer Network</w:t>
      </w:r>
      <w:r>
        <w:t xml:space="preserve">” means any electronic systems used by Company personnel that maintain or have access to PHI—whether such PHI resides in an internally or externally hosted app, cloud, server, or elsewhere.</w:t>
      </w:r>
    </w:p>
    <w:p>
      <w:pPr>
        <w:pStyle w:val="Compact"/>
        <w:numPr>
          <w:ilvl w:val="0"/>
          <w:numId w:val="1002"/>
        </w:numPr>
      </w:pPr>
      <w:r>
        <w:t xml:space="preserve">“</w:t>
      </w:r>
      <w:r>
        <w:rPr>
          <w:i/>
          <w:iCs/>
        </w:rPr>
        <w:t xml:space="preserve">Computer Facilities</w:t>
      </w:r>
      <w:r>
        <w:t xml:space="preserve">” means the rooms and closets in which Company (a) network server, computing platform, routers, hubs, cabling, telecommunications and related equipment are installed; and (b) magnetic tapes, disks, and pertinent software and hardware documentation are stored.</w:t>
      </w:r>
    </w:p>
    <w:p>
      <w:pPr>
        <w:pStyle w:val="Compact"/>
        <w:numPr>
          <w:ilvl w:val="0"/>
          <w:numId w:val="1002"/>
        </w:numPr>
      </w:pPr>
      <w:r>
        <w:t xml:space="preserve">“</w:t>
      </w:r>
      <w:r>
        <w:rPr>
          <w:i/>
          <w:iCs/>
        </w:rPr>
        <w:t xml:space="preserve">Designated Record Set</w:t>
      </w:r>
      <w:r>
        <w:t xml:space="preserve">” means the group of records maintained by or for Company that (a) consists of a patient’s medical records or billing records, or (b) is used, in whole or in part, by or for Company to make decisions about patients. Records maintained solely for quality improvement, patient safety, or business planning purposes generally will not be considered part of Company’s Designated Record Set.</w:t>
      </w:r>
    </w:p>
    <w:p>
      <w:pPr>
        <w:pStyle w:val="Compact"/>
        <w:numPr>
          <w:ilvl w:val="0"/>
          <w:numId w:val="1002"/>
        </w:numPr>
      </w:pPr>
      <w:r>
        <w:t xml:space="preserve">“</w:t>
      </w:r>
      <w:r>
        <w:rPr>
          <w:i/>
          <w:iCs/>
        </w:rPr>
        <w:t xml:space="preserve">Facilities</w:t>
      </w:r>
      <w:r>
        <w:t xml:space="preserve">” means all of Company’s buildings and offices in which the IT System, Computer Facilities or PHI is located or able to be accessed.</w:t>
      </w:r>
    </w:p>
    <w:p>
      <w:pPr>
        <w:pStyle w:val="Compact"/>
        <w:numPr>
          <w:ilvl w:val="0"/>
          <w:numId w:val="1002"/>
        </w:numPr>
      </w:pPr>
      <w:r>
        <w:t xml:space="preserve">“</w:t>
      </w:r>
      <w:r>
        <w:rPr>
          <w:i/>
          <w:iCs/>
        </w:rPr>
        <w:t xml:space="preserve">Health Care Operations</w:t>
      </w:r>
      <w:r>
        <w:t xml:space="preserve">” means any of the following activities: (i) quality assessment and improvement; (ii) reviewing the competence or qualifications of health care professionals; (iii) underwriting and premium rating; (iv) medical review, legal services, auditing and compliance program administration; (v) business planning and development; or (vi) business management and general administrative activities such as member services and grievance resolution.</w:t>
      </w:r>
    </w:p>
    <w:p>
      <w:pPr>
        <w:pStyle w:val="Compact"/>
        <w:numPr>
          <w:ilvl w:val="0"/>
          <w:numId w:val="1002"/>
        </w:numPr>
      </w:pPr>
      <w:r>
        <w:t xml:space="preserve">“</w:t>
      </w:r>
      <w:r>
        <w:rPr>
          <w:i/>
          <w:iCs/>
        </w:rPr>
        <w:t xml:space="preserve">HIPAA</w:t>
      </w:r>
      <w:r>
        <w:t xml:space="preserve">” means the Health Insurance Portability and Accountability Act of 1996, as amended, and its implementing regulations.</w:t>
      </w:r>
    </w:p>
    <w:p>
      <w:pPr>
        <w:pStyle w:val="Compact"/>
        <w:numPr>
          <w:ilvl w:val="0"/>
          <w:numId w:val="1002"/>
        </w:numPr>
      </w:pPr>
      <w:r>
        <w:t xml:space="preserve">“</w:t>
      </w:r>
      <w:r>
        <w:rPr>
          <w:i/>
          <w:iCs/>
        </w:rPr>
        <w:t xml:space="preserve">HITECH</w:t>
      </w:r>
      <w:r>
        <w:t xml:space="preserve">” means the Health Information Technology for Economic and Clinical Health Act.</w:t>
      </w:r>
    </w:p>
    <w:p>
      <w:pPr>
        <w:pStyle w:val="Compact"/>
        <w:numPr>
          <w:ilvl w:val="0"/>
          <w:numId w:val="1002"/>
        </w:numPr>
      </w:pPr>
      <w:r>
        <w:t xml:space="preserve">“</w:t>
      </w:r>
      <w:r>
        <w:rPr>
          <w:i/>
          <w:iCs/>
        </w:rPr>
        <w:t xml:space="preserve">Individual</w:t>
      </w:r>
      <w:r>
        <w:t xml:space="preserve">” means the person who is the subject of PHI,e.g., patients of Company.</w:t>
      </w:r>
    </w:p>
    <w:p>
      <w:pPr>
        <w:pStyle w:val="Compact"/>
        <w:numPr>
          <w:ilvl w:val="0"/>
          <w:numId w:val="1002"/>
        </w:numPr>
      </w:pPr>
      <w:r>
        <w:t xml:space="preserve">“</w:t>
      </w:r>
      <w:r>
        <w:rPr>
          <w:i/>
          <w:iCs/>
        </w:rPr>
        <w:t xml:space="preserve">Information Blocking Rule</w:t>
      </w:r>
      <w:r>
        <w:t xml:space="preserve">” means the rule adopted by the Office of National Coordinator codified at 45 C.F.R. Part 171.</w:t>
      </w:r>
    </w:p>
    <w:p>
      <w:pPr>
        <w:pStyle w:val="Compact"/>
        <w:numPr>
          <w:ilvl w:val="0"/>
          <w:numId w:val="1002"/>
        </w:numPr>
      </w:pPr>
      <w:r>
        <w:t xml:space="preserve">“</w:t>
      </w:r>
      <w:r>
        <w:rPr>
          <w:i/>
          <w:iCs/>
        </w:rPr>
        <w:t xml:space="preserve">IT System</w:t>
      </w:r>
      <w:r>
        <w:t xml:space="preserve">” means all components of Company’s computer network, whether such components are developed and maintained internally or are externally hosted apps, clouds, servers or other components, including but not limited to host computers, file servers, application servers, communication servers, mail servers, fax servers, Web servers, workstations, stand-alone computers, laptops, software, web-based apps, data files, hubs, routers, cables, World Wide Web browsing, and file transfer protocols, and all internal and external computer and communication networks where PHI is transmitted, maintained or accessed.</w:t>
      </w:r>
    </w:p>
    <w:p>
      <w:pPr>
        <w:pStyle w:val="Compact"/>
        <w:numPr>
          <w:ilvl w:val="0"/>
          <w:numId w:val="1002"/>
        </w:numPr>
      </w:pPr>
      <w:r>
        <w:t xml:space="preserve">“</w:t>
      </w:r>
      <w:r>
        <w:rPr>
          <w:i/>
          <w:iCs/>
        </w:rPr>
        <w:t xml:space="preserve">Payment</w:t>
      </w:r>
      <w:r>
        <w:t xml:space="preserve">” means an evaluation of the risk factors relevant to Company’s business and operations, considering means activities intended to obtain payment or obtain or provide reimbursement for health care services.</w:t>
      </w:r>
      <w:hyperlink w:anchor="footnote-1">
        <w:r>
          <w:rPr>
            <w:rStyle w:val="Hyperlink"/>
          </w:rPr>
          <w:t xml:space="preserve">[2]</w:t>
        </w:r>
      </w:hyperlink>
    </w:p>
    <w:p>
      <w:pPr>
        <w:pStyle w:val="Compact"/>
        <w:numPr>
          <w:ilvl w:val="0"/>
          <w:numId w:val="1002"/>
        </w:numPr>
      </w:pPr>
      <w:r>
        <w:rPr>
          <w:i/>
          <w:iCs/>
        </w:rPr>
        <w:t xml:space="preserve">“Protected Health Information</w:t>
      </w:r>
      <w:r>
        <w:t xml:space="preserve">” or “</w:t>
      </w:r>
      <w:r>
        <w:rPr>
          <w:i/>
          <w:iCs/>
        </w:rPr>
        <w:t xml:space="preserve">PHI</w:t>
      </w:r>
      <w:r>
        <w:t xml:space="preserve">” means information that relates to the past, present, or future physical or mental health or condition of an Individual; the provision of health care to an Individual; or the past, present, or future payment for the provision of health care to an Individual, and that identifies or could reasonably be used to identify the Individual. Protected Health Information includes demographic information about Individuals (such as name, address, and Social Security number), even if unaccompanied by information about the Individual’s health or medical treatment, if the demographic information was created in connection with the provision of or payment for health care services.</w:t>
      </w:r>
    </w:p>
    <w:p>
      <w:pPr>
        <w:pStyle w:val="Compact"/>
        <w:numPr>
          <w:ilvl w:val="0"/>
          <w:numId w:val="1002"/>
        </w:numPr>
      </w:pPr>
      <w:r>
        <w:t xml:space="preserve">“</w:t>
      </w:r>
      <w:r>
        <w:rPr>
          <w:i/>
          <w:iCs/>
        </w:rPr>
        <w:t xml:space="preserve">Required by Law</w:t>
      </w:r>
      <w:r>
        <w:t xml:space="preserve">” has the same meaning as the term “required by law” in 45 C.F.R. § 164.103.</w:t>
      </w:r>
    </w:p>
    <w:p>
      <w:pPr>
        <w:pStyle w:val="Compact"/>
        <w:numPr>
          <w:ilvl w:val="0"/>
          <w:numId w:val="1002"/>
        </w:numPr>
      </w:pPr>
      <w:r>
        <w:t xml:space="preserve">“</w:t>
      </w:r>
      <w:r>
        <w:rPr>
          <w:i/>
          <w:iCs/>
        </w:rPr>
        <w:t xml:space="preserve">Risk Management Team</w:t>
      </w:r>
      <w:r>
        <w:t xml:space="preserve">” means those individuals who are knowledgeable about Company’s HIPAA policies, procedures, training program, computer system setup, and technical security controls, and who are responsible for the risk management process and procedures outlined in Company’s HIPAA policies and procedures. This team generally comprises the Chief Compliance Officer and/or his or her designee, the Chief Security Officer, the Chief Privacy Officer, various Human Resources representatives as appropriate, the Facilities Resource Manager, and security/technology subject matter experts.</w:t>
      </w:r>
    </w:p>
    <w:p>
      <w:pPr>
        <w:pStyle w:val="Compact"/>
        <w:numPr>
          <w:ilvl w:val="0"/>
          <w:numId w:val="1002"/>
        </w:numPr>
      </w:pPr>
      <w:r>
        <w:t xml:space="preserve">“</w:t>
      </w:r>
      <w:r>
        <w:rPr>
          <w:i/>
          <w:iCs/>
        </w:rPr>
        <w:t xml:space="preserve">Treatment</w:t>
      </w:r>
      <w:r>
        <w:t xml:space="preserve">” means the provision, coordination, or management of health care and related services among health care providers or by a health care provider with a third party, consultation between health care providers regarding a patient, or the referral of a patient from one health care provider to another.</w:t>
      </w:r>
    </w:p>
    <w:p>
      <w:pPr>
        <w:pStyle w:val="Compact"/>
        <w:numPr>
          <w:ilvl w:val="0"/>
          <w:numId w:val="1002"/>
        </w:numPr>
      </w:pPr>
      <w:r>
        <w:t xml:space="preserve">“</w:t>
      </w:r>
      <w:r>
        <w:rPr>
          <w:i/>
          <w:iCs/>
        </w:rPr>
        <w:t xml:space="preserve">User</w:t>
      </w:r>
      <w:r>
        <w:t xml:space="preserve">” means any personnel member or other person or entity authorized by Company to use the IT System.</w:t>
      </w:r>
    </w:p>
    <w:p>
      <w:pPr>
        <w:pStyle w:val="Compact"/>
        <w:numPr>
          <w:ilvl w:val="0"/>
          <w:numId w:val="1002"/>
        </w:numPr>
      </w:pPr>
      <w:r>
        <w:t xml:space="preserve">“</w:t>
      </w:r>
      <w:r>
        <w:rPr>
          <w:i/>
          <w:iCs/>
        </w:rPr>
        <w:t xml:space="preserve">Workstation</w:t>
      </w:r>
      <w:r>
        <w:t xml:space="preserve">” means any computer connected to the IT System.</w:t>
      </w:r>
    </w:p>
    <w:p>
      <w:pPr>
        <w:pStyle w:val="Compact"/>
        <w:numPr>
          <w:ilvl w:val="0"/>
          <w:numId w:val="1002"/>
        </w:numPr>
      </w:pPr>
      <w:r>
        <w:rPr>
          <w:b/>
          <w:bCs/>
        </w:rPr>
        <w:t xml:space="preserve">Policy</w:t>
      </w:r>
    </w:p>
    <w:p>
      <w:pPr>
        <w:pStyle w:val="Compact"/>
        <w:numPr>
          <w:ilvl w:val="0"/>
          <w:numId w:val="1002"/>
        </w:numPr>
      </w:pPr>
      <w:r>
        <w:t xml:space="preserve">The above definitions in Section II of this Policy apply to all Company HIPAA policies and procedures.</w:t>
      </w:r>
    </w:p>
    <w:p>
      <w:pPr>
        <w:pStyle w:val="Compact"/>
        <w:numPr>
          <w:ilvl w:val="0"/>
          <w:numId w:val="1002"/>
        </w:numPr>
      </w:pPr>
      <w:r>
        <w:rPr>
          <w:b/>
          <w:bCs/>
        </w:rPr>
        <w:t xml:space="preserve">References</w:t>
      </w:r>
    </w:p>
    <w:p>
      <w:pPr>
        <w:pStyle w:val="Compact"/>
        <w:numPr>
          <w:ilvl w:val="0"/>
          <w:numId w:val="1003"/>
        </w:numPr>
      </w:pPr>
      <w:r>
        <w:t xml:space="preserve">Not applicable.</w:t>
      </w:r>
    </w:p>
    <w:p>
      <w:pPr>
        <w:pStyle w:val="Compact"/>
        <w:numPr>
          <w:ilvl w:val="0"/>
          <w:numId w:val="1004"/>
        </w:numPr>
      </w:pPr>
      <w:r>
        <w:t xml:space="preserve">Note: A Breach does not require notice under the HITECH Act if it involves PHI de-identified in accordance with HIPAA standards or limited data sets when dates of birth and zip codes have been removed.</w:t>
      </w:r>
      <w:r>
        <w:t xml:space="preserve"> </w:t>
      </w:r>
      <w:hyperlink w:anchor="footnote-ref-0">
        <w:r>
          <w:rPr>
            <w:rStyle w:val="Hyperlink"/>
          </w:rPr>
          <w:t xml:space="preserve">↑</w:t>
        </w:r>
      </w:hyperlink>
    </w:p>
    <w:p>
      <w:pPr>
        <w:pStyle w:val="Compact"/>
        <w:numPr>
          <w:ilvl w:val="0"/>
          <w:numId w:val="1004"/>
        </w:numPr>
      </w:pPr>
      <w:r>
        <w:t xml:space="preserve">The HIPAA definition of Payment is more expansive but not all aspects of that definition are relevant to Company.</w:t>
      </w:r>
      <w:r>
        <w:t xml:space="preserve"> </w:t>
      </w:r>
      <w:hyperlink w:anchor="footnote-ref-1">
        <w:r>
          <w:rPr>
            <w:rStyle w:val="Hyperlink"/>
          </w:rPr>
          <w:t xml:space="preserve">↑</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hipaa-definitions</dc:title>
  <dc:creator/>
  <cp:keywords/>
  <dcterms:created xsi:type="dcterms:W3CDTF">2026-05-26T18:49:07Z</dcterms:created>
  <dcterms:modified xsi:type="dcterms:W3CDTF">2026-05-26T18:49:07Z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Privacy Officer</vt:lpwstr>
  </property>
  <property fmtid="{D5CDD505-2E9C-101B-9397-08002B2CF9AE}" pid="4" name="source">
    <vt:lpwstr>03i HIPAA Definitions Policy.docx</vt:lpwstr>
  </property>
</Properties>
</file>