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hanges-folder-3-vs-folder-1"/>
    <w:p>
      <w:pPr>
        <w:pStyle w:val="Heading1"/>
      </w:pPr>
      <w:r>
        <w:t xml:space="preserve">Changes — folder 3 vs folder 1</w:t>
      </w:r>
    </w:p>
    <w:p>
      <w:pPr>
        <w:pStyle w:val="FirstParagraph"/>
      </w:pPr>
      <w:r>
        <w:t xml:space="preserve">Folder 3 started as an exact copy of</w:t>
      </w:r>
      <w:r>
        <w:t xml:space="preserve"> </w:t>
      </w:r>
      <w:r>
        <w:rPr>
          <w:rStyle w:val="VerbatimChar"/>
        </w:rPr>
        <w:t xml:space="preserve">1. original_docs_markdown/</w:t>
      </w:r>
      <w:r>
        <w:t xml:space="preserve"> </w:t>
      </w:r>
      <w:r>
        <w:t xml:space="preserve">(37 files, no edits). This document lists every change applied on top, and why. The full diff is visible per-file in git history; this is the executive-readable summary.</w:t>
      </w:r>
    </w:p>
    <w:p>
      <w:pPr>
        <w:pStyle w:val="BodyText"/>
      </w:pPr>
      <w:r>
        <w:rPr>
          <w:b/>
          <w:bCs/>
        </w:rPr>
        <w:t xml:space="preserve">Net change: 37 → 28 files, with 3 short clauses added to existing policies.</w:t>
      </w:r>
      <w:r>
        <w:t xml:space="preserve"> </w:t>
      </w:r>
      <w:r>
        <w:t xml:space="preserve">No new files were authored. No content was rewritten.</w:t>
      </w:r>
    </w:p>
    <w:p>
      <w:r>
        <w:pict>
          <v:rect style="width:0;height:1.5pt" o:hralign="center" o:hrstd="t" o:hr="t"/>
        </w:pict>
      </w:r>
    </w:p>
    <w:bookmarkStart w:id="9" w:name="X71da5b20ba2821099f2459deb5a4598eefa86ea"/>
    <w:p>
      <w:pPr>
        <w:pStyle w:val="Heading2"/>
      </w:pPr>
      <w:r>
        <w:t xml:space="preserve">1. Deletions — superseded duplicate versions (9 files removed)</w:t>
      </w:r>
    </w:p>
    <w:p>
      <w:pPr>
        <w:pStyle w:val="FirstParagraph"/>
      </w:pPr>
      <w:r>
        <w:t xml:space="preserve">The originals included pairs / quadruplets of the same policy at different revision dates. We keep the newest of each and remove the rest. The originals remain untouched in</w:t>
      </w:r>
      <w:r>
        <w:t xml:space="preserve"> </w:t>
      </w:r>
      <w:r>
        <w:rPr>
          <w:rStyle w:val="VerbatimChar"/>
        </w:rPr>
        <w:t xml:space="preserve">1. original_docs_markdown/</w:t>
      </w:r>
      <w:r>
        <w:t xml:space="preserve"> </w:t>
      </w:r>
      <w:r>
        <w:t xml:space="preserve">for full audit history.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Removed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 (1).md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version is the May 7 revision; the un-suffixed version is the older May 1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03l HIPAA - Millie_BAA (for BA Use with Subcontractor).md</w:t>
            </w:r>
            <w:r>
              <w:t xml:space="preserve"> </w:t>
            </w:r>
            <w:r>
              <w:t xml:space="preserve">(legacy</w:t>
            </w:r>
            <w:r>
              <w:t xml:space="preserve"> </w:t>
            </w:r>
            <w:r>
              <w:rPr>
                <w:rStyle w:val="VerbatimChar"/>
              </w:rPr>
              <w:t xml:space="preserve">.doc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HIPAA - Millie_BAA (for BA Use with Subcontractor).md</w:t>
            </w:r>
            <w:r>
              <w:t xml:space="preserve"> </w:t>
            </w:r>
            <w:r>
              <w:t xml:space="preserve">(modern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supersedes the legacy</w:t>
            </w:r>
            <w:r>
              <w:t xml:space="preserve"> </w:t>
            </w:r>
            <w:r>
              <w:rPr>
                <w:rStyle w:val="VerbatimChar"/>
              </w:rPr>
              <w:t xml:space="preserve">.doc</w:t>
            </w:r>
            <w:r>
              <w:t xml:space="preserve">; content is the same BAA 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03q HIPAA - Risk Management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03q HIPAA - Risk Management Policy (1).md</w:t>
            </w:r>
          </w:p>
        </w:tc>
        <w:tc>
          <w:tcPr/>
          <w:p>
            <w:pPr>
              <w:pStyle w:val="Compact"/>
            </w:pPr>
            <w:r>
              <w:t xml:space="preserve">Both converted to byte-identical Markdown. Kept the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per filename convention.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(1).md</w:t>
            </w:r>
            <w:r>
              <w:t xml:space="preserve"> </w:t>
            </w:r>
            <w:r>
              <w:t xml:space="preserve">(May 14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(2).md</w:t>
            </w:r>
            <w:r>
              <w:t xml:space="preserve"> </w:t>
            </w:r>
            <w:r>
              <w:t xml:space="preserve">(May 18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Four versions of this file existed (two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, two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(2).docx</w:t>
            </w:r>
            <w:r>
              <w:t xml:space="preserve"> </w:t>
            </w:r>
            <w:r>
              <w:t xml:space="preserve">is the newest.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Policy.docx.md</w:t>
            </w:r>
            <w:r>
              <w:t xml:space="preserve"> </w:t>
            </w:r>
            <w:r>
              <w:t xml:space="preserve">(May 1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  <w:tc>
          <w:tcPr/>
          <w:p>
            <w:pPr>
              <w:pStyle w:val="Compact"/>
            </w:pPr>
            <w:r>
              <w:t xml:space="preserve">Oldest of the four.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Policy.pdf.md</w:t>
            </w:r>
            <w:r>
              <w:t xml:space="preserve"> </w:t>
            </w:r>
            <w:r>
              <w:t xml:space="preserve">(May 6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  <w:tc>
          <w:tcPr/>
          <w:p>
            <w:pPr>
              <w:pStyle w:val="Compact"/>
            </w:pPr>
            <w:r>
              <w:t xml:space="preserve">Superseded by the May 14 PDF and the May 18 DOCX.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03w HIPAA - Workstation Use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03w HIPAA - Workstation Use Policy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is May 4; un-suffixed is May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is May 23; un-suffixed is May 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Privacy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Privacy Policy (1).md</w:t>
            </w:r>
          </w:p>
        </w:tc>
        <w:tc>
          <w:tcPr/>
          <w:p>
            <w:pPr>
              <w:pStyle w:val="Compact"/>
            </w:pPr>
            <w:r>
              <w:t xml:space="preserve">Byte-identical. Kept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These nine deletions reduce the policy set to 28 files without losing any content.</w:t>
      </w:r>
    </w:p>
    <w:p>
      <w:r>
        <w:pict>
          <v:rect style="width:0;height:1.5pt" o:hralign="center" o:hrstd="t" o:hr="t"/>
        </w:pict>
      </w:r>
    </w:p>
    <w:bookmarkEnd w:id="9"/>
    <w:bookmarkStart w:id="13" w:name="X34818342671402355cda4d76e4bdad22bf7d02f"/>
    <w:p>
      <w:pPr>
        <w:pStyle w:val="Heading2"/>
      </w:pPr>
      <w:r>
        <w:t xml:space="preserve">2. Additions — three short ECH-required clauses</w:t>
      </w:r>
    </w:p>
    <w:p>
      <w:pPr>
        <w:pStyle w:val="FirstParagraph"/>
      </w:pPr>
      <w:r>
        <w:t xml:space="preserve">Driven by</w:t>
      </w:r>
      <w:r>
        <w:t xml:space="preserve"> </w:t>
      </w:r>
      <w:r>
        <w:rPr>
          <w:rStyle w:val="VerbatimChar"/>
        </w:rPr>
        <w:t xml:space="preserve">2. gaps_for_ech/GAPS.md</w:t>
      </w:r>
      <w:r>
        <w:t xml:space="preserve">. Each was appended to an existing policy in its native voice (numbered list, italic sub-section header, formal</w:t>
      </w:r>
      <w:r>
        <w:t xml:space="preserve"> </w:t>
      </w:r>
      <w:r>
        <w:t xml:space="preserve">“Company shall…”</w:t>
      </w:r>
      <w:r>
        <w:t xml:space="preserve"> </w:t>
      </w:r>
      <w:r>
        <w:t xml:space="preserve">tone) so it reads as part of the original rather than a bolted-on extension.</w:t>
      </w:r>
    </w:p>
    <w:bookmarkStart w:id="10" w:name="Xdc9ac886e241dfc8f63b91df0721625feb0b4a5"/>
    <w:p>
      <w:pPr>
        <w:pStyle w:val="Heading3"/>
      </w:pPr>
      <w:r>
        <w:t xml:space="preserve">2.1 — Email Authentication &amp; Anti-Malware Exclusions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Location:</w:t>
      </w:r>
      <w:r>
        <w:t xml:space="preserve"> </w:t>
      </w:r>
      <w:r>
        <w:t xml:space="preserve">Appended one paragraph to §6 Data Transmission &amp; Sharing.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ISD IT Risk Assessment / Additional Cybersecurity Questions, CSV rows 50, 51, 55 (DMARC + AV-exclusion + vuln-scan-exclusion stance).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Google Workspace anti-malware with no custom exclusions; SPF / DKIM / DMARC at policy = quarantine or stricter on Millie-owned sending domains; vuln scanning has no application-side exclusions and any exception requires Chief Security Officer approval.</w:t>
      </w:r>
    </w:p>
    <w:bookmarkEnd w:id="10"/>
    <w:bookmarkStart w:id="11" w:name="byod-mobile-device-management"/>
    <w:p>
      <w:pPr>
        <w:pStyle w:val="Heading3"/>
      </w:pPr>
      <w:r>
        <w:t xml:space="preserve">2.2 — BYOD &amp; Mobile Device Management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03w HIPAA - Workstation Use Policy (1).md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Location:</w:t>
      </w:r>
      <w:r>
        <w:t xml:space="preserve"> </w:t>
      </w:r>
      <w:r>
        <w:t xml:space="preserve">Appended as new numbered sub-section</w:t>
      </w:r>
      <w:r>
        <w:t xml:space="preserve"> </w:t>
      </w:r>
      <w:r>
        <w:rPr>
          <w:rStyle w:val="VerbatimChar"/>
        </w:rPr>
        <w:t xml:space="preserve">*BYOD &amp; Mobile Device Management*.</w:t>
      </w:r>
      <w:r>
        <w:t xml:space="preserve"> </w:t>
      </w:r>
      <w:r>
        <w:t xml:space="preserve">immediately before the References section.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SIG Lite §M.1.3 / §M.1.5 / §M.1.6 (CSV rows 132–134, all flagged</w:t>
      </w:r>
      <w:r>
        <w:t xml:space="preserve"> </w:t>
      </w:r>
      <w:r>
        <w:t xml:space="preserve">“FOLLOW UP”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BYOD permitted for email / messaging / approved SaaS; PHI not stored locally on personal devices; any device touching PHI must be enrolled in MDM with passcode / encryption / remote-wipe; un-enrolled personal devices restricted to web SaaS via SSO + MFA.</w:t>
      </w:r>
    </w:p>
    <w:bookmarkEnd w:id="11"/>
    <w:bookmarkStart w:id="12" w:name="pandemic-operations-multi-vendor-risk"/>
    <w:p>
      <w:pPr>
        <w:pStyle w:val="Heading3"/>
      </w:pPr>
      <w:r>
        <w:t xml:space="preserve">2.3 — Pandemic Operations &amp; Multi-Vendor Risk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03d HIPAA - Contingency Planning Policy (1).md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Location:</w:t>
      </w:r>
      <w:r>
        <w:t xml:space="preserve"> </w:t>
      </w:r>
      <w:r>
        <w:t xml:space="preserve">Appended as new numbered sub-section</w:t>
      </w:r>
      <w:r>
        <w:t xml:space="preserve"> </w:t>
      </w:r>
      <w:r>
        <w:rPr>
          <w:rStyle w:val="VerbatimChar"/>
        </w:rPr>
        <w:t xml:space="preserve">*Pandemic Operations &amp; Multi-Vendor Risk*.</w:t>
      </w:r>
      <w:r>
        <w:t xml:space="preserve"> </w:t>
      </w:r>
      <w:r>
        <w:t xml:space="preserve">immediately before the References section.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SIG Lite §K.4 (pandemic plan, currently NO) and §K.30 (multi-vendor resiliency, currently NO).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Pandemic patient operations governed by the COVID Policy; operational continuity may shift to telehealth-first / essential-on-site; cloud-first stack with single-vendor dependencies on Aptible / AWS / Cloudflare / Google Workspace is a documented accepted risk reviewed annually.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items-intentionally-not-changed"/>
    <w:p>
      <w:pPr>
        <w:pStyle w:val="Heading2"/>
      </w:pPr>
      <w:r>
        <w:t xml:space="preserve">3. Items intentionally NOT changed</w:t>
      </w:r>
    </w:p>
    <w:p>
      <w:pPr>
        <w:pStyle w:val="FirstParagraph"/>
      </w:pPr>
      <w:r>
        <w:t xml:space="preserve">Per the gap analysis, the following questionnaire-surfaced items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drive a policy edit: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Cyber-liability certificate + pentest / audit attestation</w:t>
      </w:r>
      <w:r>
        <w:t xml:space="preserve"> </w:t>
      </w:r>
      <w:r>
        <w:t xml:space="preserve">(Insurances row 181; Security Audits rows 182–183) — these are evidence attachments for the ECH submission package, not policy text. The Contingency Planning Policy already commits to obtaining cyber-liability insurance; the actual certificate lives in business records.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Operational AWS judgment calls</w:t>
      </w:r>
      <w:r>
        <w:t xml:space="preserve"> </w:t>
      </w:r>
      <w:r>
        <w:t xml:space="preserve">(IAM users with console access, wildcard admin, AWS Config off, public subnet residue) — covered by honest answers in the ECH CSV; no policy edit warranted at Millie’s size.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PCI DSS, ESG, IoMT, GLBA, antitrust, fraud-prevention program, standalone HR security policy, AI policy</w:t>
      </w:r>
      <w:r>
        <w:t xml:space="preserve"> </w:t>
      </w:r>
      <w:r>
        <w:t xml:space="preserve">— all marked N/A in the gap analysis. Answer N/A on the submission with the one-line justifications in</w:t>
      </w:r>
      <w:r>
        <w:t xml:space="preserve"> </w:t>
      </w:r>
      <w:r>
        <w:rPr>
          <w:rStyle w:val="VerbatimChar"/>
        </w:rPr>
        <w:t xml:space="preserve">2. gaps_for_ech/NA-justifications.md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inventory-after-changes"/>
    <w:p>
      <w:pPr>
        <w:pStyle w:val="Heading2"/>
      </w:pPr>
      <w:r>
        <w:t xml:space="preserve">4. Inventory after changes</w:t>
      </w:r>
    </w:p>
    <w:p>
      <w:pPr>
        <w:pStyle w:val="FirstParagraph"/>
      </w:pPr>
      <w:r>
        <w:t xml:space="preserve">28 files remain in</w:t>
      </w:r>
      <w:r>
        <w:t xml:space="preserve"> </w:t>
      </w:r>
      <w:r>
        <w:rPr>
          <w:rStyle w:val="VerbatimChar"/>
        </w:rPr>
        <w:t xml:space="preserve">3. final_policies/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Privacy / patient-rights HIPAA suite (10):</w:t>
      </w:r>
      <w:r>
        <w:t xml:space="preserve"> </w:t>
      </w:r>
      <w:r>
        <w:t xml:space="preserve">Accounting of Disclosures, Breach Notification, BAA Policy, De-Identifying PHI, Definitions, Marketing, Min Necessary Rule, Paper Document Mgmt, Right to Access, Right to Amend, Use &amp; Disclosure of PHI, Privacy Policy</w:t>
      </w:r>
      <w:r>
        <w:t xml:space="preserve"> </w:t>
      </w:r>
      <w:r>
        <w:rPr>
          <w:i/>
          <w:iCs/>
        </w:rPr>
        <w:t xml:space="preserve">(L-series + standalone)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Security / technical HIPAA suite (5):</w:t>
      </w:r>
      <w:r>
        <w:t xml:space="preserve"> </w:t>
      </w:r>
      <w:r>
        <w:t xml:space="preserve">Contingency Planning</w:t>
      </w:r>
      <w:r>
        <w:t xml:space="preserve"> </w:t>
      </w:r>
      <w:r>
        <w:rPr>
          <w:i/>
          <w:iCs/>
        </w:rPr>
        <w:t xml:space="preserve">(+ pandemic / multi-vendor clause)</w:t>
      </w:r>
      <w:r>
        <w:t xml:space="preserve">, Encryption, Password Mgmt, Remote Access, Risk Mgmt, Safeguards, Security Incident Mgmt, Workstation Use</w:t>
      </w:r>
      <w:r>
        <w:t xml:space="preserve"> </w:t>
      </w:r>
      <w:r>
        <w:rPr>
          <w:i/>
          <w:iCs/>
        </w:rPr>
        <w:t xml:space="preserve">(+ BYOD / MDM clause)</w:t>
      </w:r>
      <w:r>
        <w:t xml:space="preserve"> </w:t>
      </w:r>
      <w:r>
        <w:rPr>
          <w:i/>
          <w:iCs/>
        </w:rPr>
        <w:t xml:space="preserve">(IT-series)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Frameworks &amp; lifecycle (3):</w:t>
      </w:r>
      <w:r>
        <w:t xml:space="preserve"> </w:t>
      </w:r>
      <w:r>
        <w:t xml:space="preserve">Information Security &amp; Data Governance Framework</w:t>
      </w:r>
      <w:r>
        <w:t xml:space="preserve"> </w:t>
      </w:r>
      <w:r>
        <w:rPr>
          <w:i/>
          <w:iCs/>
        </w:rPr>
        <w:t xml:space="preserve">(+ email auth clause)</w:t>
      </w:r>
      <w:r>
        <w:t xml:space="preserve">, SDLC &amp; Asset Lifecycle Policy, AWS and Aptible Security Incident Management Policy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Templates (2):</w:t>
      </w:r>
      <w:r>
        <w:t xml:space="preserve"> </w:t>
      </w:r>
      <w:r>
        <w:t xml:space="preserve">BAA-for-Subcontractor template, Insurance Authorization template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Operational (2):</w:t>
      </w:r>
      <w:r>
        <w:t xml:space="preserve"> </w:t>
      </w:r>
      <w:r>
        <w:t xml:space="preserve">Millie Clinic COVID Policy, Platform Matrix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Reference (1):</w:t>
      </w:r>
      <w:r>
        <w:t xml:space="preserve"> </w:t>
      </w:r>
      <w:r>
        <w:t xml:space="preserve">ECH Security Assessment Questions snapshot</w:t>
      </w:r>
    </w:p>
    <w:p>
      <w:r>
        <w:pict>
          <v:rect style="width:0;height:1.5pt" o:hralign="center" o:hrstd="t" o:hr="t"/>
        </w:pict>
      </w:r>
    </w:p>
    <w:bookmarkEnd w:id="15"/>
    <w:bookmarkStart w:id="16" w:name="how-to-maintain-this-folder"/>
    <w:p>
      <w:pPr>
        <w:pStyle w:val="Heading2"/>
      </w:pPr>
      <w:r>
        <w:t xml:space="preserve">5. How to maintain this folder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When ECH changes</w:t>
      </w:r>
      <w:r>
        <w:t xml:space="preserve"> </w:t>
      </w:r>
      <w:r>
        <w:t xml:space="preserve">(new vendor questionnaire, regulator update): start in</w:t>
      </w:r>
      <w:r>
        <w:t xml:space="preserve"> </w:t>
      </w:r>
      <w:r>
        <w:rPr>
          <w:rStyle w:val="VerbatimChar"/>
        </w:rPr>
        <w:t xml:space="preserve">2. gaps_for_ech/</w:t>
      </w:r>
      <w:r>
        <w:t xml:space="preserve">. Re-run the section-level analysis. Default to N/A unless ECH explicitly asks for new policy text.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When a real gap appears</w:t>
      </w:r>
      <w:r>
        <w:t xml:space="preserve">: append the smallest possible clause to an</w:t>
      </w:r>
      <w:r>
        <w:t xml:space="preserve"> </w:t>
      </w:r>
      <w:r>
        <w:rPr>
          <w:i/>
          <w:iCs/>
        </w:rPr>
        <w:t xml:space="preserve">existing</w:t>
      </w:r>
      <w:r>
        <w:t xml:space="preserve"> </w:t>
      </w:r>
      <w:r>
        <w:t xml:space="preserve">file here. Don’t create a new file unless the gap is genuinely orthogonal to every existing policy.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When a policy is materially revised</w:t>
      </w:r>
      <w:r>
        <w:t xml:space="preserve">: edit the file here directly. The diff against</w:t>
      </w:r>
      <w:r>
        <w:t xml:space="preserve"> </w:t>
      </w:r>
      <w:r>
        <w:rPr>
          <w:rStyle w:val="VerbatimChar"/>
        </w:rPr>
        <w:t xml:space="preserve">1. original_docs_markdown/</w:t>
      </w:r>
      <w:r>
        <w:t xml:space="preserve"> </w:t>
      </w:r>
      <w:r>
        <w:t xml:space="preserve">shows total drift from the original; the per-file git history shows what changed when.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Quarterly / annual review burden</w:t>
      </w:r>
      <w:r>
        <w:t xml:space="preserve"> </w:t>
      </w:r>
      <w:r>
        <w:t xml:space="preserve">is sized by file count. Keep this folder lean.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2026-05-27T10:27:50Z</dcterms:created>
  <dcterms:modified xsi:type="dcterms:W3CDTF">2026-05-27T10:27:50Z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