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9" w:name="real-gaps-actionable-subset"/>
    <w:p>
      <w:pPr>
        <w:pStyle w:val="Heading1"/>
      </w:pPr>
      <w:r>
        <w:t xml:space="preserve">Real Gaps — Actionable Subset</w:t>
      </w:r>
    </w:p>
    <w:p>
      <w:pPr>
        <w:pStyle w:val="FirstParagraph"/>
      </w:pPr>
      <w:r>
        <w:t xml:space="preserve">Eight sections have genuine gaps after the row-level verification (see</w:t>
      </w:r>
      <w:r>
        <w:t xml:space="preserve"> </w:t>
      </w:r>
      <w:hyperlink r:id="rId9">
        <w:r>
          <w:rPr>
            <w:rStyle w:val="Hyperlink"/>
          </w:rPr>
          <w:t xml:space="preserve">ROW-LEVEL-VERIFICATION.md</w:t>
        </w:r>
      </w:hyperlink>
      <w:r>
        <w:t xml:space="preserve">). All eight collapse into short clauses appended to</w:t>
      </w:r>
      <w:r>
        <w:t xml:space="preserve"> </w:t>
      </w:r>
      <w:r>
        <w:rPr>
          <w:b/>
          <w:bCs/>
        </w:rPr>
        <w:t xml:space="preserve">existing</w:t>
      </w:r>
      <w:r>
        <w:t xml:space="preserve"> </w:t>
      </w:r>
      <w:r>
        <w:t xml:space="preserve">files — no new policy documents required. One is evidence-only and needs an attachment rather than a policy edit.</w:t>
      </w:r>
    </w:p>
    <w:p>
      <w:pPr>
        <w:pStyle w:val="BodyText"/>
      </w:pPr>
      <w:r>
        <w:t xml:space="preserve">Gaps 1–4 surfaced in the initial section-level pass. Gaps 5–9 surfaced in the row-level verification that followed (the section pass was too coarse and hid these inside sections it called</w:t>
      </w:r>
      <w:r>
        <w:t xml:space="preserve"> </w:t>
      </w:r>
      <w:r>
        <w:t xml:space="preserve">“No Gap”</w:t>
      </w:r>
      <w:r>
        <w:t xml:space="preserve"> </w:t>
      </w:r>
      <w:r>
        <w:t xml:space="preserve">— notably the C-SCRM gap inside SIG S).</w:t>
      </w:r>
    </w:p>
    <w:p>
      <w:r>
        <w:pict>
          <v:rect style="width:0;height:1.5pt" o:hralign="center" o:hrstd="t" o:hr="t"/>
        </w:pict>
      </w:r>
    </w:p>
    <w:bookmarkStart w:id="10" w:name="X3825546a2381814da5664bd1c1dcb831ccf9942"/>
    <w:p>
      <w:pPr>
        <w:pStyle w:val="Heading2"/>
      </w:pPr>
      <w:r>
        <w:t xml:space="preserve">Gap 1 — Email Authentication &amp; Anti-Malware Exclusions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Section:</w:t>
      </w:r>
      <w:r>
        <w:t xml:space="preserve"> </w:t>
      </w:r>
      <w:r>
        <w:t xml:space="preserve">ISD IT Risk Assessment / Additional Cybersecurity Questions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CSV rows:</w:t>
      </w:r>
      <w:r>
        <w:t xml:space="preserve"> </w:t>
      </w:r>
      <w:r>
        <w:t xml:space="preserve">50, 51, 55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ECH expects:</w:t>
      </w:r>
      <w:r>
        <w:t xml:space="preserve"> </w:t>
      </w:r>
      <w:r>
        <w:t xml:space="preserve">Stance on AV / security exclusions, vuln-scan exclusions, and whether the third-party adopts DMARC.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originals say:</w:t>
      </w:r>
      <w:r>
        <w:t xml:space="preserve"> </w:t>
      </w:r>
      <w:r>
        <w:t xml:space="preserve">Nothing. No active original addresses DMARC / SPF / DKIM or anti-malware exclusion handling.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to add:</w:t>
      </w:r>
      <w:r>
        <w:t xml:space="preserve"> </w:t>
      </w:r>
      <w:r>
        <w:t xml:space="preserve">A one-paragraph clause stating: Millie uses Google Workspace’s built-in anti-malware (no custom exclusions); transactional email is sent via SendGrid with SPF, DKIM, and DMARC configured at policy = quarantine or reject; vulnerability scanning is performed against in-scope hosted services (Aptible / AWS) with no application-side exclusions, and any one-off operational exclusion requires Chief Security Officer approval.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Where to add it:</w:t>
      </w:r>
      <w:r>
        <w:t xml:space="preserve"> </w:t>
      </w:r>
      <w:r>
        <w:rPr>
          <w:rStyle w:val="VerbatimChar"/>
        </w:rPr>
        <w:t xml:space="preserve">Millie Information Security &amp; Data Governance Framework.md</w:t>
      </w:r>
      <w:r>
        <w:t xml:space="preserve"> </w:t>
      </w:r>
      <w:r>
        <w:t xml:space="preserve">— append to §6 Data Transmission &amp; Sharing.</w:t>
      </w:r>
    </w:p>
    <w:p>
      <w:r>
        <w:pict>
          <v:rect style="width:0;height:1.5pt" o:hralign="center" o:hrstd="t" o:hr="t"/>
        </w:pict>
      </w:r>
    </w:p>
    <w:bookmarkEnd w:id="10"/>
    <w:bookmarkStart w:id="11" w:name="gap-2-byod-mobile-device-management"/>
    <w:p>
      <w:pPr>
        <w:pStyle w:val="Heading2"/>
      </w:pPr>
      <w:r>
        <w:t xml:space="preserve">Gap 2 — BYOD &amp; Mobile Device Management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Section:</w:t>
      </w:r>
      <w:r>
        <w:t xml:space="preserve"> </w:t>
      </w:r>
      <w:r>
        <w:t xml:space="preserve">SIG Lite 2025 / M. Endpoint Security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CSV rows:</w:t>
      </w:r>
      <w:r>
        <w:t xml:space="preserve"> </w:t>
      </w:r>
      <w:r>
        <w:t xml:space="preserve">132 (M.1.3), 133 (M.1.5), 134 (M.1.6) — all flagged</w:t>
      </w:r>
      <w:r>
        <w:t xml:space="preserve"> </w:t>
      </w:r>
      <w:r>
        <w:t xml:space="preserve">“FOLLOW UP”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What ECH expects:</w:t>
      </w:r>
      <w:r>
        <w:t xml:space="preserve"> </w:t>
      </w:r>
      <w:r>
        <w:t xml:space="preserve">A documented MDM program; a stance on non-company devices touching the network; a stance on BYOD with scoped data.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What originals say:</w:t>
      </w:r>
      <w:r>
        <w:t xml:space="preserve"> </w:t>
      </w:r>
      <w:r>
        <w:rPr>
          <w:rStyle w:val="VerbatimChar"/>
        </w:rPr>
        <w:t xml:space="preserve">Workstation Use Policy</w:t>
      </w:r>
      <w:r>
        <w:t xml:space="preserve"> </w:t>
      </w:r>
      <w:r>
        <w:t xml:space="preserve">references mobile phones / iPads and locking timeouts, and</w:t>
      </w:r>
      <w:r>
        <w:t xml:space="preserve"> </w:t>
      </w:r>
      <w:r>
        <w:rPr>
          <w:rStyle w:val="VerbatimChar"/>
        </w:rPr>
        <w:t xml:space="preserve">Remote Access Policy</w:t>
      </w:r>
      <w:r>
        <w:t xml:space="preserve"> </w:t>
      </w:r>
      <w:r>
        <w:t xml:space="preserve">covers Users on personal devices, but no BYOD / MDM stance is documented.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What to add:</w:t>
      </w:r>
      <w:r>
        <w:t xml:space="preserve"> </w:t>
      </w:r>
      <w:r>
        <w:t xml:space="preserve">A one-paragraph clause stating: BYOD is permitted for email, Slack, and approved SaaS only — no PHI may be stored locally on personal devices. Company-issued devices and personal devices that access PHI must be enrolled in Millie’s MDM (vendor selection pending; tracked operationally), require device passcode + auto-lock + disk encryption + remote-wipe capability, and may be remotely wiped on termination or loss. Non-managed personal devices are restricted to web-based SaaS via SSO / MFA and may not store PHI.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Where to add it:</w:t>
      </w:r>
      <w:r>
        <w:t xml:space="preserve"> </w:t>
      </w:r>
      <w:r>
        <w:rPr>
          <w:rStyle w:val="VerbatimChar"/>
        </w:rPr>
        <w:t xml:space="preserve">03w HIPAA - Workstation Use Policy.md</w:t>
      </w:r>
      <w:r>
        <w:t xml:space="preserve"> </w:t>
      </w:r>
      <w:r>
        <w:t xml:space="preserve">— append as new procedure section</w:t>
      </w:r>
      <w:r>
        <w:t xml:space="preserve"> </w:t>
      </w:r>
      <w:r>
        <w:t xml:space="preserve">“BYOD &amp; Mobile Device Management.”</w:t>
      </w:r>
    </w:p>
    <w:p>
      <w:r>
        <w:pict>
          <v:rect style="width:0;height:1.5pt" o:hralign="center" o:hrstd="t" o:hr="t"/>
        </w:pict>
      </w:r>
    </w:p>
    <w:bookmarkEnd w:id="11"/>
    <w:bookmarkStart w:id="12" w:name="X9e595cefb789ca6337e2b790d1586d477001c57"/>
    <w:p>
      <w:pPr>
        <w:pStyle w:val="Heading2"/>
      </w:pPr>
      <w:r>
        <w:t xml:space="preserve">Gap 3 — Pandemic Operations &amp; Multi-Vendor Resiliency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Section:</w:t>
      </w:r>
      <w:r>
        <w:t xml:space="preserve"> </w:t>
      </w:r>
      <w:r>
        <w:t xml:space="preserve">SIG Lite 2025 / K. Operational Resilience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CSV rows:</w:t>
      </w:r>
      <w:r>
        <w:t xml:space="preserve"> </w:t>
      </w:r>
      <w:r>
        <w:t xml:space="preserve">119 (K.4 — answered NO), 124 (K.30 — answered NO)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What ECH expects:</w:t>
      </w:r>
      <w:r>
        <w:t xml:space="preserve"> </w:t>
      </w:r>
      <w:r>
        <w:t xml:space="preserve">A pandemic / infectious-disease outbreak plan, and a resiliency strategy with multi-vendor risk mitigation.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What originals say:</w:t>
      </w:r>
      <w:r>
        <w:t xml:space="preserve"> </w:t>
      </w:r>
      <w:r>
        <w:rPr>
          <w:rStyle w:val="VerbatimChar"/>
        </w:rPr>
        <w:t xml:space="preserve">Millie Clinic COVID Policy.md</w:t>
      </w:r>
      <w:r>
        <w:t xml:space="preserve"> </w:t>
      </w:r>
      <w:r>
        <w:t xml:space="preserve">covers patient-facing isolation / exposure logic but is silent on staff-facing operational continuity.</w:t>
      </w:r>
      <w:r>
        <w:t xml:space="preserve"> </w:t>
      </w:r>
      <w:r>
        <w:rPr>
          <w:rStyle w:val="VerbatimChar"/>
        </w:rPr>
        <w:t xml:space="preserve">Contingency Planning Policy</w:t>
      </w:r>
      <w:r>
        <w:t xml:space="preserve"> </w:t>
      </w:r>
      <w:r>
        <w:t xml:space="preserve">covers data backup, IT contingency, and disaster recovery but not pandemic operations or single-vendor concentration risk.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What to add:</w:t>
      </w:r>
      <w:r>
        <w:t xml:space="preserve"> </w:t>
      </w:r>
      <w:r>
        <w:t xml:space="preserve">A one-paragraph clause stating: For pandemic / infectious-disease events, Millie’s COVID Policy (or its successor) governs patient interactions; clinical operations may shift to telehealth-first scheduling, on-site staffing reduces to essential personnel, and PPE protocols follow current CDPH / CDC guidance. Millie operates a cloud-first stack with single-vendor dependencies on Aptible (compute / databases), AWS (storage / logging), Cloudflare (DNS / CDN), and Google Workspace (collaboration); this concentration is a documented accepted risk reviewed annually by the Chief Security Officer, with exit considerations (data portability, vendor lock-in) factored into the BAA review for each.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Where to add it:</w:t>
      </w:r>
      <w:r>
        <w:t xml:space="preserve"> </w:t>
      </w:r>
      <w:r>
        <w:rPr>
          <w:rStyle w:val="VerbatimChar"/>
        </w:rPr>
        <w:t xml:space="preserve">03d HIPAA - Contingency Planning Policy.md</w:t>
      </w:r>
      <w:r>
        <w:t xml:space="preserve"> </w:t>
      </w:r>
      <w:r>
        <w:t xml:space="preserve">— append as new section</w:t>
      </w:r>
      <w:r>
        <w:t xml:space="preserve"> </w:t>
      </w:r>
      <w:r>
        <w:t xml:space="preserve">“Pandemic Operations &amp; Multi-Vendor Risk.”</w:t>
      </w:r>
    </w:p>
    <w:p>
      <w:r>
        <w:pict>
          <v:rect style="width:0;height:1.5pt" o:hralign="center" o:hrstd="t" o:hr="t"/>
        </w:pict>
      </w:r>
    </w:p>
    <w:bookmarkEnd w:id="12"/>
    <w:bookmarkStart w:id="13" w:name="X78d3a1167efe03d1f37268024bdd6a1460b1ac3"/>
    <w:p>
      <w:pPr>
        <w:pStyle w:val="Heading2"/>
      </w:pPr>
      <w:r>
        <w:t xml:space="preserve">Gap 4 — Insurance Certificate + Audit Attestations (Evidence, not Policy)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Section:</w:t>
      </w:r>
      <w:r>
        <w:t xml:space="preserve"> </w:t>
      </w:r>
      <w:r>
        <w:t xml:space="preserve">Insurances + Security Audits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CSV rows:</w:t>
      </w:r>
      <w:r>
        <w:t xml:space="preserve"> </w:t>
      </w:r>
      <w:r>
        <w:t xml:space="preserve">181, 182, 183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What ECH expects:</w:t>
      </w:r>
      <w:r>
        <w:t xml:space="preserve"> </w:t>
      </w:r>
      <w:r>
        <w:t xml:space="preserve">Attached documents — cyber-liability certificate; pentest report; general security audit (SOC 2 / HITRUST / etc.).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What originals say:</w:t>
      </w:r>
      <w:r>
        <w:t xml:space="preserve"> </w:t>
      </w:r>
      <w:r>
        <w:rPr>
          <w:rStyle w:val="VerbatimChar"/>
        </w:rPr>
        <w:t xml:space="preserve">Contingency Planning Policy.md</w:t>
      </w:r>
      <w:r>
        <w:t xml:space="preserve"> </w:t>
      </w:r>
      <w:r>
        <w:t xml:space="preserve">§III(h) commits to obtaining cyber-liability insurance but does not substitute for the certificate.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What to add:</w:t>
      </w:r>
      <w:r>
        <w:t xml:space="preserve"> </w:t>
      </w:r>
      <w:r>
        <w:rPr>
          <w:b/>
          <w:bCs/>
        </w:rPr>
        <w:t xml:space="preserve">No policy change.</w:t>
      </w:r>
      <w:r>
        <w:t xml:space="preserve"> </w:t>
      </w:r>
      <w:r>
        <w:t xml:space="preserve">Attach the actual cyber-liability certificate to the ECH submission package. For pentest + general audit: either commission a third-party pentest (recommended for credibility) or answer truthfully</w:t>
      </w:r>
      <w:r>
        <w:t xml:space="preserve"> </w:t>
      </w:r>
      <w:r>
        <w:t xml:space="preserve">“none currently on file; will share when commissioned.”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Where to add it:</w:t>
      </w:r>
      <w:r>
        <w:t xml:space="preserve"> </w:t>
      </w:r>
      <w:r>
        <w:t xml:space="preserve">N/A — submission package, not policy text.</w:t>
      </w:r>
    </w:p>
    <w:p>
      <w:r>
        <w:pict>
          <v:rect style="width:0;height:1.5pt" o:hralign="center" o:hrstd="t" o:hr="t"/>
        </w:pict>
      </w:r>
    </w:p>
    <w:bookmarkEnd w:id="13"/>
    <w:bookmarkStart w:id="14" w:name="gap-5-dr-exercise-testing-cadence"/>
    <w:p>
      <w:pPr>
        <w:pStyle w:val="Heading2"/>
      </w:pPr>
      <w:r>
        <w:t xml:space="preserve">Gap 5 — DR Exercise / Testing Cadence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Section:</w:t>
      </w:r>
      <w:r>
        <w:t xml:space="preserve"> </w:t>
      </w:r>
      <w:r>
        <w:t xml:space="preserve">SIG Lite 2025 / K. Operational Resilience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CSV rows:</w:t>
      </w:r>
      <w:r>
        <w:t xml:space="preserve"> </w:t>
      </w:r>
      <w:r>
        <w:t xml:space="preserve">117 (K.2 — flagged FOLLOW UP)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What ECH expects:</w:t>
      </w:r>
      <w:r>
        <w:t xml:space="preserve"> </w:t>
      </w:r>
      <w:r>
        <w:t xml:space="preserve">Evidence that the DR plan is actually exercised / tested, with cadence and documentation.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What originals say:</w:t>
      </w:r>
      <w:r>
        <w:t xml:space="preserve"> </w:t>
      </w:r>
      <w:r>
        <w:rPr>
          <w:rStyle w:val="VerbatimChar"/>
        </w:rPr>
        <w:t xml:space="preserve">Contingency Planning Policy.md</w:t>
      </w:r>
      <w:r>
        <w:t xml:space="preserve"> </w:t>
      </w:r>
      <w:r>
        <w:t xml:space="preserve">§III(b)–(d) describes backups, the DR plan, and third-party coordination, but is silent on</w:t>
      </w:r>
      <w:r>
        <w:t xml:space="preserve"> </w:t>
      </w:r>
      <w:r>
        <w:rPr>
          <w:b/>
          <w:bCs/>
        </w:rPr>
        <w:t xml:space="preserve">exercising</w:t>
      </w:r>
      <w:r>
        <w:t xml:space="preserve"> </w:t>
      </w:r>
      <w:r>
        <w:t xml:space="preserve">the plan.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What to add:</w:t>
      </w:r>
      <w:r>
        <w:t xml:space="preserve"> </w:t>
      </w:r>
      <w:r>
        <w:t xml:space="preserve">One sentence:</w:t>
      </w:r>
      <w:r>
        <w:t xml:space="preserve"> </w:t>
      </w:r>
      <w:r>
        <w:t xml:space="preserve">“The Chief Security Officer shall coordinate at least an annual tabletop or walk-through exercise of the disaster recovery plan, document the outcome, and feed material findings into the risk management process.”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Where to add it:</w:t>
      </w:r>
      <w:r>
        <w:t xml:space="preserve"> </w:t>
      </w:r>
      <w:r>
        <w:rPr>
          <w:rStyle w:val="VerbatimChar"/>
        </w:rPr>
        <w:t xml:space="preserve">03d HIPAA - Contingency Planning Policy (1).md</w:t>
      </w:r>
      <w:r>
        <w:t xml:space="preserve"> </w:t>
      </w:r>
      <w:r>
        <w:t xml:space="preserve">— append to §III(d) Other Protective Measures.</w:t>
      </w:r>
    </w:p>
    <w:p>
      <w:r>
        <w:pict>
          <v:rect style="width:0;height:1.5pt" o:hralign="center" o:hrstd="t" o:hr="t"/>
        </w:pict>
      </w:r>
    </w:p>
    <w:bookmarkEnd w:id="14"/>
    <w:bookmarkStart w:id="15" w:name="gap-6-change-management"/>
    <w:p>
      <w:pPr>
        <w:pStyle w:val="Heading2"/>
      </w:pPr>
      <w:r>
        <w:t xml:space="preserve">Gap 6 — Change Management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Section:</w:t>
      </w:r>
      <w:r>
        <w:t xml:space="preserve"> </w:t>
      </w:r>
      <w:r>
        <w:t xml:space="preserve">SIG Lite 2025 / G. IT Operations Management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CSV rows:</w:t>
      </w:r>
      <w:r>
        <w:t xml:space="preserve"> </w:t>
      </w:r>
      <w:r>
        <w:t xml:space="preserve">104 (G.2)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What ECH expects:</w:t>
      </w:r>
      <w:r>
        <w:t xml:space="preserve"> </w:t>
      </w:r>
      <w:r>
        <w:t xml:space="preserve">A named Change Management / Change Control program with owner and review cadence.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What originals say:</w:t>
      </w:r>
      <w:r>
        <w:t xml:space="preserve"> </w:t>
      </w:r>
      <w:r>
        <w:rPr>
          <w:rStyle w:val="VerbatimChar"/>
        </w:rPr>
        <w:t xml:space="preserve">SDLC &amp; Asset Lifecycle Policy</w:t>
      </w:r>
      <w:r>
        <w:t xml:space="preserve"> </w:t>
      </w:r>
      <w:r>
        <w:t xml:space="preserve">§III(c) covers pre-deploy validation but never names a change-control program.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What to add:</w:t>
      </w:r>
      <w:r>
        <w:t xml:space="preserve"> </w:t>
      </w:r>
      <w:r>
        <w:t xml:space="preserve">“Changes to production systems require peer review and approval through Company’s source-control and deployment pipeline (currently GitHub pull-request review + Aptible deploys). The Chief Security Officer is the owner of this change-control process, which is reviewed at least annually. A record of production changes is retained via Git history and Aptible deploy logs.”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Where to add it:</w:t>
      </w:r>
      <w:r>
        <w:t xml:space="preserve"> </w:t>
      </w:r>
      <w:r>
        <w:rPr>
          <w:rStyle w:val="VerbatimChar"/>
        </w:rPr>
        <w:t xml:space="preserve">System Development Life Cycle (SDLC) &amp; Asset Lifecycle Policy.md</w:t>
      </w:r>
      <w:r>
        <w:t xml:space="preserve"> </w:t>
      </w:r>
      <w:r>
        <w:t xml:space="preserve">— append to §III(c) Testing &amp; Implementation.</w:t>
      </w:r>
    </w:p>
    <w:p>
      <w:r>
        <w:pict>
          <v:rect style="width:0;height:1.5pt" o:hralign="center" o:hrstd="t" o:hr="t"/>
        </w:pict>
      </w:r>
    </w:p>
    <w:bookmarkEnd w:id="15"/>
    <w:bookmarkStart w:id="16" w:name="X7d3ba3698d0bc3cc20fcd273d1ddf0778409f6c"/>
    <w:p>
      <w:pPr>
        <w:pStyle w:val="Heading2"/>
      </w:pPr>
      <w:r>
        <w:t xml:space="preserve">Gap 7 — C-SCRM Framing (one paragraph closes S.32 + S.57 + S.61 + S.80 + S.100)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Section:</w:t>
      </w:r>
      <w:r>
        <w:t xml:space="preserve"> </w:t>
      </w:r>
      <w:r>
        <w:t xml:space="preserve">SIG Lite 2025 / S. Supply Chain Risk Management (SCRM)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CSV rows:</w:t>
      </w:r>
      <w:r>
        <w:t xml:space="preserve"> </w:t>
      </w:r>
      <w:r>
        <w:t xml:space="preserve">176 (S.32), 177 (S.57), 178 (S.61), 179 (S.80), 180 (S.100)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ECH expects:</w:t>
      </w:r>
      <w:r>
        <w:t xml:space="preserve"> </w:t>
      </w:r>
      <w:r>
        <w:t xml:space="preserve">A document explicitly framed as</w:t>
      </w:r>
      <w:r>
        <w:t xml:space="preserve"> </w:t>
      </w:r>
      <w:r>
        <w:rPr>
          <w:b/>
          <w:bCs/>
        </w:rPr>
        <w:t xml:space="preserve">Cybersecurity Supply Chain Risk Management</w:t>
      </w:r>
      <w:r>
        <w:t xml:space="preserve"> </w:t>
      </w:r>
      <w:r>
        <w:t xml:space="preserve">— strategy, objectives, supplier adoption, contingency planning, named owner, integration with security planning, and system / communications protection across the supply chain.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originals say:</w:t>
      </w:r>
      <w:r>
        <w:t xml:space="preserve"> </w:t>
      </w:r>
      <w:r>
        <w:rPr>
          <w:rStyle w:val="VerbatimChar"/>
        </w:rPr>
        <w:t xml:space="preserve">Millie Information Security &amp; Data Governance Framework (1).md</w:t>
      </w:r>
      <w:r>
        <w:t xml:space="preserve"> </w:t>
      </w:r>
      <w:r>
        <w:t xml:space="preserve">§11 covers third-party / vendor risk management with BAA flow-down — that’s a substantive answer to S.1 (sub-tier flow-down), but it never uses the</w:t>
      </w:r>
      <w:r>
        <w:t xml:space="preserve"> </w:t>
      </w:r>
      <w:r>
        <w:t xml:space="preserve">“C-SCRM”</w:t>
      </w:r>
      <w:r>
        <w:t xml:space="preserve"> </w:t>
      </w:r>
      <w:r>
        <w:t xml:space="preserve">framing nor names an owner of supply-chain security specifically. Without the C-SCRM framing, an assessor running a SIG checklist will not find S.32 / S.57 / S.61 / S.80 / S.100 even though the underlying controls are largely in place.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to add:</w:t>
      </w:r>
      <w:r>
        <w:t xml:space="preserve"> </w:t>
      </w:r>
      <w:r>
        <w:t xml:space="preserve">A 3-sentence paragraph appended to §11: (1) Millie’s third-party risk management process functions as the Company’s Cybersecurity Supply Chain Risk Management (C-SCRM) program, with the Chief Security Officer (in coordination with the Chief Privacy Officer and Legal) as the named owner. (2) C-SCRM objectives are reviewed annually alongside the security risk assessment, and supplier-related cybersecurity controls — encryption in transit, access management, and incident notification — are required of subcontractors and subprocessors via BAA flow-down. (3) Vendor-furnished or vendor-returned physical media is addressed during vendor onboarding / BAA review; Millie’s cloud-first posture limits supply-chain media exposure to vendor-owned infrastructure.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Where to add it:</w:t>
      </w:r>
      <w:r>
        <w:t xml:space="preserve"> </w:t>
      </w:r>
      <w:r>
        <w:rPr>
          <w:rStyle w:val="VerbatimChar"/>
        </w:rPr>
        <w:t xml:space="preserve">Millie Information Security &amp; Data Governance Framework (1).md</w:t>
      </w:r>
      <w:r>
        <w:t xml:space="preserve"> </w:t>
      </w:r>
      <w:r>
        <w:t xml:space="preserve">— append to §11.</w:t>
      </w:r>
    </w:p>
    <w:p>
      <w:r>
        <w:pict>
          <v:rect style="width:0;height:1.5pt" o:hralign="center" o:hrstd="t" o:hr="t"/>
        </w:pict>
      </w:r>
    </w:p>
    <w:bookmarkEnd w:id="16"/>
    <w:bookmarkStart w:id="17" w:name="X4204c03a4493f7e845b5152ec782d67dd36b300"/>
    <w:p>
      <w:pPr>
        <w:pStyle w:val="Heading2"/>
      </w:pPr>
      <w:r>
        <w:t xml:space="preserve">Gap 8 — Proactive Log Review + Patch SLA + Tamper-Resistant Incident Log (J.5 + A06 + J.14)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Section:</w:t>
      </w:r>
      <w:r>
        <w:t xml:space="preserve"> </w:t>
      </w:r>
      <w:r>
        <w:t xml:space="preserve">SIG Lite 2025 / J. Cybersecurity Incident Mgmt + OWASP A06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CSV rows:</w:t>
      </w:r>
      <w:r>
        <w:t xml:space="preserve"> </w:t>
      </w:r>
      <w:r>
        <w:t xml:space="preserve">77 (OWASP A06 — flagged Remediate), 113 (J.5), 115 (J.14)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What ECH expects:</w:t>
      </w:r>
      <w:r>
        <w:t xml:space="preserve"> </w:t>
      </w:r>
      <w:r>
        <w:t xml:space="preserve">A stated methodology + cadence for proactive log / event review; assurance the incident log is tamper-resistant; a stated vuln-scanning cadence and patching SLA.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What originals say:</w:t>
      </w:r>
      <w:r>
        <w:t xml:space="preserve"> </w:t>
      </w:r>
      <w:r>
        <w:t xml:space="preserve">Reactive incident response is well documented. Proactive review is described as</w:t>
      </w:r>
      <w:r>
        <w:t xml:space="preserve"> </w:t>
      </w:r>
      <w:r>
        <w:t xml:space="preserve">“as needed”</w:t>
      </w:r>
      <w:r>
        <w:t xml:space="preserve"> </w:t>
      </w:r>
      <w:r>
        <w:t xml:space="preserve">(Framework §7), vuln scanning has no cadence or SLA stated anywhere, and the incident log is described as a Log but not as tamper-resistant.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What to add (three small edits):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Framework §7</w:t>
      </w:r>
      <w:r>
        <w:t xml:space="preserve"> </w:t>
      </w:r>
      <w:r>
        <w:t xml:space="preserve">— replace</w:t>
      </w:r>
      <w:r>
        <w:t xml:space="preserve"> </w:t>
      </w:r>
      <w:r>
        <w:t xml:space="preserve">“as needed”</w:t>
      </w:r>
      <w:r>
        <w:t xml:space="preserve"> </w:t>
      </w:r>
      <w:r>
        <w:t xml:space="preserve">with:</w:t>
      </w:r>
      <w:r>
        <w:t xml:space="preserve"> </w:t>
      </w:r>
      <w:r>
        <w:t xml:space="preserve">“The Chief Security Officer (or designee) reviews GuardDuty findings, CloudTrail anomalies, and Aptible application audit logs on at least a monthly cadence to identify potential incidents, in addition to event-driven review. Findings are logged and escalated through the Security Incident Management Policy.”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Framework §6</w:t>
      </w:r>
      <w:r>
        <w:t xml:space="preserve"> </w:t>
      </w:r>
      <w:r>
        <w:t xml:space="preserve">— append:</w:t>
      </w:r>
      <w:r>
        <w:t xml:space="preserve"> </w:t>
      </w:r>
      <w:r>
        <w:t xml:space="preserve">“Dependency vulnerabilities are surfaced via GitHub Dependabot and triaged at least weekly; Critical / High findings are remediated within 30 days, Medium within 90 days, subject to the risk-management exception process.”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Security Incident Management §III(c)</w:t>
      </w:r>
      <w:r>
        <w:t xml:space="preserve"> </w:t>
      </w:r>
      <w:r>
        <w:t xml:space="preserve">— append to the Log paragraph:</w:t>
      </w:r>
      <w:r>
        <w:t xml:space="preserve"> </w:t>
      </w:r>
      <w:r>
        <w:t xml:space="preserve">“The incident log is maintained in a restricted-access Company system, edits are auditable, and the log is retained for at least 6 years consistent with HIPAA documentation requirements.”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Where to add it:</w:t>
      </w:r>
      <w:r>
        <w:t xml:space="preserve"> </w:t>
      </w:r>
      <w:r>
        <w:rPr>
          <w:rStyle w:val="VerbatimChar"/>
        </w:rPr>
        <w:t xml:space="preserve">Millie Information Security &amp; Data Governance Framework (1).md</w:t>
      </w:r>
      <w:r>
        <w:t xml:space="preserve"> </w:t>
      </w:r>
      <w:r>
        <w:t xml:space="preserve">§6 and §7;</w:t>
      </w:r>
      <w:r>
        <w:t xml:space="preserve"> </w:t>
      </w:r>
      <w:r>
        <w:rPr>
          <w:rStyle w:val="VerbatimChar"/>
        </w:rPr>
        <w:t xml:space="preserve">03s HIPAA - Security Incident Management Policy (2).md</w:t>
      </w:r>
      <w:r>
        <w:t xml:space="preserve"> </w:t>
      </w:r>
      <w:r>
        <w:t xml:space="preserve">§III(c).</w:t>
      </w:r>
    </w:p>
    <w:p>
      <w:r>
        <w:pict>
          <v:rect style="width:0;height:1.5pt" o:hralign="center" o:hrstd="t" o:hr="t"/>
        </w:pict>
      </w:r>
    </w:p>
    <w:bookmarkEnd w:id="17"/>
    <w:bookmarkStart w:id="18" w:name="X680466205fb1a8ba5468faa6ce07c343b2bd2c0"/>
    <w:p>
      <w:pPr>
        <w:pStyle w:val="Heading2"/>
      </w:pPr>
      <w:r>
        <w:t xml:space="preserve">Gap 9 — Password Storage + Session / Token Protection (OWASP A02 + A07)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Section:</w:t>
      </w:r>
      <w:r>
        <w:t xml:space="preserve"> </w:t>
      </w:r>
      <w:r>
        <w:t xml:space="preserve">OWASP Top 10 / A02 + A07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CSV rows:</w:t>
      </w:r>
      <w:r>
        <w:t xml:space="preserve"> </w:t>
      </w:r>
      <w:r>
        <w:t xml:space="preserve">73 (A02 — flagged Remediate), 78 (A07 — flagged Remediate)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What ECH expects:</w:t>
      </w:r>
      <w:r>
        <w:t xml:space="preserve"> </w:t>
      </w:r>
      <w:r>
        <w:t xml:space="preserve">A stated stance on how user credentials are stored (hashing) and how session tokens are protected.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What originals say:</w:t>
      </w:r>
      <w:r>
        <w:t xml:space="preserve"> </w:t>
      </w:r>
      <w:r>
        <w:rPr>
          <w:rStyle w:val="VerbatimChar"/>
        </w:rPr>
        <w:t xml:space="preserve">03o HIPAA - Password Management Policy.md</w:t>
      </w:r>
      <w:r>
        <w:t xml:space="preserve"> </w:t>
      </w:r>
      <w:r>
        <w:t xml:space="preserve">covers user password hygiene (length, rotation, lockout) but not server-side credential storage; nothing on session tokens.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What to add:</w:t>
      </w:r>
      <w:r>
        <w:t xml:space="preserve"> </w:t>
      </w:r>
      <w:r>
        <w:t xml:space="preserve">Two 1-sentence additions to §III: (1)</w:t>
      </w:r>
      <w:r>
        <w:t xml:space="preserve"> </w:t>
      </w:r>
      <w:r>
        <w:t xml:space="preserve">“User account passwords are stored using an industry-standard one-way hash with per-user salt (bcrypt or equivalent); plaintext passwords are never stored or logged.”</w:t>
      </w:r>
      <w:r>
        <w:t xml:space="preserve"> </w:t>
      </w:r>
      <w:r>
        <w:t xml:space="preserve">(2)</w:t>
      </w:r>
      <w:r>
        <w:t xml:space="preserve"> </w:t>
      </w:r>
      <w:r>
        <w:t xml:space="preserve">“Application sessions are protected by signed, short-lived tokens; failed-login attempts are rate-limited and monitored; and session invalidation occurs on logout, password change, or role revocation.”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Where to add it:</w:t>
      </w:r>
      <w:r>
        <w:t xml:space="preserve"> </w:t>
      </w:r>
      <w:r>
        <w:rPr>
          <w:rStyle w:val="VerbatimChar"/>
        </w:rPr>
        <w:t xml:space="preserve">03o HIPAA - Password Management Policy.md</w:t>
      </w:r>
      <w:r>
        <w:t xml:space="preserve"> </w:t>
      </w:r>
      <w:r>
        <w:t xml:space="preserve">— append to §III.</w:t>
      </w:r>
    </w:p>
    <w:bookmarkEnd w:id="18"/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ROW-LEVEL-VERIFICATION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ROW-LEVEL-VERIFICATION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2026-05-28T15:51:44Z</dcterms:created>
  <dcterms:modified xsi:type="dcterms:W3CDTF">2026-05-28T15:51:44Z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