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leader="none" w:pos="3570"/>
              </w:tabs>
              <w:jc w:val="center"/>
              <w:rPr>
                <w:b w:val="1"/>
                <w:bCs w:val="1"/>
              </w:rPr>
            </w:pPr>
            <w:bookmarkStart w:colFirst="0" w:colLast="0" w:name="_gjdgxs" w:id="0"/>
            <w:bookmarkEnd w:id="0"/>
            <w:r w:rsidDel="00000000" w:rsidR="00000000" w:rsidRPr="00000000">
              <w:rPr>
                <w:b w:val="1"/>
                <w:bCs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Risk Management Policy</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Jul 5,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May 2, 2022</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and procedure establishes the scope, objectives and procedures of Company’s security risk management process.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 policy of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conduct thorough and timely risk assessments of the potential threats to and vulnerabilities of the confidentiality, integrity and availability of its electronic PHI (“ePHI”) and other confidential and proprietary electronic information, and to develop strategies to efficiently and effectively mitigate the risks identified in the assessment. A risk assessment shall be conducted no less frequently than once a year. The information security risk management process assesses compliance with the administrative, physical and technical standards that govern ePHI that is received, created, maintained, or transmitted by Company.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of each risk assessment should presented to the </w:t>
      </w:r>
      <w:r w:rsidDel="00000000" w:rsidR="00000000" w:rsidRPr="00000000">
        <w:rPr>
          <w:rtl w:val="0"/>
        </w:rPr>
        <w:t xml:space="preserve">Risk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committee, and if there are material risks, then to the Board of Directors or any committee designated thereby.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are expected to fully cooperate with all persons charged with doing risk management work. Any personnel member who violates this Policy will be subject to disciplinary action based on the severity of the violation.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pPr>
      <w:bookmarkStart w:colFirst="0" w:colLast="0" w:name="_1fob9te" w:id="2"/>
      <w:bookmarkEnd w:id="2"/>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Risk Assessment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intent of completing a risk assessment is to determine potential threats and vulnerabilities related to the security of PHI and their likelihood, as well as the impact on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they occur. The output of this process helps identify appropriate controls for reducing or eliminating risk.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utilize the </w:t>
      </w:r>
      <w:hyperlink r:id="rId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risk assessment tool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by the Office for Civil Rights within the U.S. Department of Health &amp; Human Services to perform its HIPAA risk assessment. This tool may be supplemented by additional risk assessment elements or by a more robust risk assessment performed by a third-party vendor.</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performing the risk assessment,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appoint a committee consisting of Chief Privacy Officer, Chief Security Officer and other personnel with subject matter expertise (“Risk Committee”) to do the following.</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Universe of ePHI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where ePHI is created, received, maintained, processed, or transmitted and document its findings, taking into consideration removable media and portable devises and third-party systems. Using information-gathering techniques, identify the IT System boundaries, as well as the resources and the information that constitute the IT System.</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Threat Identification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potential threats to the IT Systems and ePHI are identified.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Vulnerability Identification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 a list of technical and nontechnical system vulnerabilities that could be exploited or triggered by the potential threat sources. Vulnerabilities can range from incomplete or conflicting policies that govern computer usage to insufficient safeguards to protect Company’s equipment to any number of software, hardware, or other deficiencies that comprise the IT System.</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Control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 and assess the effectiveness of technical and nontechnical controls that have been or will be implemented to minimize or eliminate the likelihood of a threat source exploiting a system vulnerability.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Likelihood Determination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 the overall likelihood rating, which indicates the probability that a vulnerability could be exploited by a threat source given the existing or planned security controls.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Impact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 the level of adverse impact that would result from a threat source successfully exploiting a vulnerability.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Risk Determination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 a risk level. By multiplying the ratings from the likelihood determination and impact analysis, a risk level is determined. This represents the degree or level of risk to which an IT System, facility, or procedure might be exposed if a given vulnerability were exploited.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Control Recommendations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controls that could eliminate or reduce to an acceptable level the identified risks, as appropriate to Company’s operations.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Results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 of the risk assessment are documented in an official report or briefing and provided to</w:t>
      </w:r>
      <w:r w:rsidDel="00000000" w:rsidR="00000000" w:rsidRPr="00000000">
        <w:rPr>
          <w:rtl w:val="0"/>
        </w:rPr>
        <w:t xml:space="preserve"> the Risk Review Committee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decisions on policy, procedure, budget, and system operational and management changes. If significant risks are identified, the report should also be provided to the Board of Directors or committee designated by the Board of Directors.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Risk Mitigation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mitigation involves prioritizing, evaluating, and implementing the appropriate risk-reducing controls recommended from the risk assessment process to ensure the confidentiality, integrity, and availability of ePHI. Elimination of all risk is not practical. Depending on individual situations, implemented controls may lower a risk level, but not completely eliminate the risk.</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Prioritize Actions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results from Step 7 of the risk assessment, the Risk Committee shall sort the threat and vulnerability pairs according to their risk levels in descending order. This establishes a prioritized list of necessary actions, with the pairs at the top of the list getting/requiring the most immediate attention and top priority in allocating resources.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Evaluate Recommended Control Options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possible controls for each threat and vulnerability pair are determined in Step 8 of the risk assessment, the Risk Committee shall review the recommended control(s) and alternative solutions for reasonableness and appropriateness. The feasibility (e.g., compatibility, user acceptance) and effectiveness (e.g., degree of protection, level of risk mitigation) of the recommended controls should be analyzed. In the end, select the most appropriate control option for each threat and vulnerability pair.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Conduct Cost-Benefit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Committee shall determine the extent to which a control is cost-effective. Compare the benefit (e.g., risk reduction) of applying a control with its subsequent cost of application. Controls that are not cost-effective must also be identified during this step. Analyzing each control or set of controls in this manner, and prioritizing across all controls being considered, can greatly aid in the decision-making process.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 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Committee shall take into account the information and results from previous steps, Company’s mission, and other important criteria, and consult with senior management to determine the best control(s) for reducing risks to the IT Systems and to the confidentiality, integrity, and availability of ePHI. These controls may consist of a mix of administrative, physical, and/or technical safeguards.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Assign Responsibility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Committee shall identify the individual(s) or team with the skills necessary to implement each of the specific controls outlined in the previous step, and formally assign to such individuals or teams their responsibilities.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Develop Safeguard Implementation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Committee, or its designee(s), shall be responsible for developing an overall implementation or action plan and individual project plans needed to implement the safeguards and controls identified. The implementation plan should contain the following information: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risk or vulnerability/threat pair and risk level;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Prioritized actions;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recommended feasible control(s) for each identified risk;</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resources for implementation of selected controls;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responsible for implementation of each control;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date for implementation;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date for completion of implementation; and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Maintenance requirements.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overall implementation plan provides a broad overview of the safeguard implementation, identifying important milestones and time frames, resource requirements (staff and other individuals’ time, budget, etc.), interrelationships between projects, and any other relevant information. Regular status updates against  plan, along with key metrics and success indicators, should be reported to Company’s </w:t>
      </w:r>
      <w:r w:rsidDel="00000000" w:rsidR="00000000" w:rsidRPr="00000000">
        <w:rPr>
          <w:rtl w:val="0"/>
        </w:rPr>
        <w:t xml:space="preserve">Risk Review Committee.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project plans for safeguard implementation may be developed and may contain detailed steps that assigned resources must carry out in order to meet implementation time frames and expectations (often referred to as a work breakdown structure). Additionally, consider including items in individual project plans such as a project scope, a list of deliverables, key assumptions, objectives, task completion dates, and project requirements.</w:t>
      </w:r>
    </w:p>
    <w:p w:rsidR="00000000" w:rsidDel="00000000" w:rsidP="00000000" w:rsidRDefault="00000000" w:rsidRPr="00000000" w14:paraId="000000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Implement Selected Controls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controls are implemented, the Risk Committee must monitor the affected system(s) to verify that the implemented controls continue to meet expectations.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Addressing Unmet Risk Reduction Expectations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risk reduction expectations are not met, then repeat all or a part of the risk management process so that additional controls needed to lower risk to an acceptable level can be identified. </w:t>
      </w:r>
      <w:r w:rsidDel="00000000" w:rsidR="00000000" w:rsidRPr="00000000">
        <w:rPr>
          <w:rtl w:val="0"/>
        </w:rPr>
      </w:r>
    </w:p>
    <w:p w:rsidR="00000000" w:rsidDel="00000000" w:rsidP="00000000" w:rsidRDefault="00000000" w:rsidRPr="00000000" w14:paraId="0000004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3znysh7" w:id="3"/>
      <w:bookmarkEnd w:id="3"/>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Risk Management Schedule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3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two principal components of the risk management process—risk assessment and risk mitigation—will be carried out according to the following schedule:</w:t>
      </w:r>
    </w:p>
    <w:p w:rsidR="00000000" w:rsidDel="00000000" w:rsidP="00000000" w:rsidRDefault="00000000" w:rsidRPr="00000000" w14:paraId="00000043">
      <w:pPr>
        <w:tabs>
          <w:tab w:val="left" w:leader="none" w:pos="1260"/>
        </w:tabs>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Scheduled Basis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overall risk assessment of Company’s IT System will be conducted annually. The assessment process should be completed in a timely fashion so that risk mitigation strategies can be determined and included in the corporate budgeting process.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Ongoing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time that a need for a new information system is identified through the time it is disposed of, ongoing assessments of the potential threats to a system and its vulnerabilities should be undertaken as a part of the maintenance of the system.</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 Needed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Chief Security Officer (or other designated personnel member) or Risk Committee may call for a full or partial risk assessment in response to changes in business strategies, information technology, information sensitivity, threats, legal liabilities, or other significant factors that affect Company’s IT System.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164.530, 164.308(a)(1)(ii)(A), 164.308(a)(1)(ii)(B), 164.308(a)(8), 164.308(a)(1)(ii)(A), 164.308(a)(1)(ii)(B), 164.308(a)(1)(i), &amp; 164.308(a)(8)</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NIST Risk Management Guide for Information Technology Systems, Special Publication 800-30, July 2002</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NIST Security Self-Assessment Guide for Information Technology Systems 800-26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widowControl w:val="0"/>
        <w:tabs>
          <w:tab w:val="left" w:leader="none" w:pos="820"/>
          <w:tab w:val="left" w:leader="none"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400989924.1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400989924.1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b w:val="1"/>
        <w:bCs w:val="1"/>
        <w:i w:val="0"/>
        <w:iCs w:val="0"/>
        <w:smallCaps w:val="0"/>
        <w:strike w:val="0"/>
        <w:color w:val="000000"/>
        <w:u w:val="none"/>
        <w:vertAlign w:val="baseline"/>
      </w:rPr>
    </w:lvl>
    <w:lvl w:ilvl="1">
      <w:start w:val="1"/>
      <w:numFmt w:val="upperLetter"/>
      <w:lvlText w:val="%2."/>
      <w:lvlJc w:val="left"/>
      <w:pPr>
        <w:ind w:left="0" w:firstLine="720"/>
      </w:pPr>
      <w:rPr>
        <w:b w:val="0"/>
        <w:bCs w:val="0"/>
        <w:i w:val="0"/>
        <w:iCs w:val="0"/>
        <w:smallCaps w:val="0"/>
        <w:strike w:val="0"/>
        <w:color w:val="000000"/>
        <w:u w:val="none"/>
        <w:vertAlign w:val="baseline"/>
      </w:rPr>
    </w:lvl>
    <w:lvl w:ilvl="2">
      <w:start w:val="1"/>
      <w:numFmt w:val="decimal"/>
      <w:lvlText w:val="%3."/>
      <w:lvlJc w:val="left"/>
      <w:pPr>
        <w:ind w:left="2160" w:hanging="720"/>
      </w:pPr>
      <w:rPr>
        <w:b w:val="0"/>
        <w:bCs w:val="0"/>
        <w:i w:val="0"/>
        <w:iCs w:val="0"/>
        <w:smallCaps w:val="0"/>
        <w:strike w:val="0"/>
        <w:color w:val="000000"/>
        <w:u w:val="none"/>
        <w:vertAlign w:val="baseline"/>
      </w:rPr>
    </w:lvl>
    <w:lvl w:ilvl="3">
      <w:start w:val="1"/>
      <w:numFmt w:val="lowerLetter"/>
      <w:lvlText w:val="%4."/>
      <w:lvlJc w:val="left"/>
      <w:pPr>
        <w:ind w:left="0" w:firstLine="2160"/>
      </w:pPr>
      <w:rPr>
        <w:b w:val="1"/>
        <w:bCs w:val="1"/>
        <w:i w:val="0"/>
        <w:iCs w:val="0"/>
        <w:smallCaps w:val="0"/>
        <w:strike w:val="0"/>
        <w:color w:val="000000"/>
        <w:u w:val="none"/>
        <w:vertAlign w:val="baseline"/>
      </w:rPr>
    </w:lvl>
    <w:lvl w:ilvl="4">
      <w:start w:val="1"/>
      <w:numFmt w:val="lowerRoman"/>
      <w:lvlText w:val="(%5)"/>
      <w:lvlJc w:val="left"/>
      <w:pPr>
        <w:ind w:left="0" w:firstLine="2880"/>
      </w:pPr>
      <w:rPr>
        <w:b w:val="0"/>
        <w:bCs w:val="0"/>
        <w:i w:val="0"/>
        <w:iCs w:val="0"/>
        <w:smallCaps w:val="0"/>
        <w:strike w:val="0"/>
        <w:color w:val="000000"/>
        <w:u w:val="none"/>
        <w:vertAlign w:val="baseline"/>
      </w:rPr>
    </w:lvl>
    <w:lvl w:ilvl="5">
      <w:start w:val="1"/>
      <w:numFmt w:val="lowerLetter"/>
      <w:lvlText w:val="(%6)"/>
      <w:lvlJc w:val="left"/>
      <w:pPr>
        <w:ind w:left="0" w:firstLine="3600"/>
      </w:pPr>
      <w:rPr>
        <w:b w:val="0"/>
        <w:bCs w:val="0"/>
        <w:i w:val="0"/>
        <w:iCs w:val="0"/>
        <w:smallCaps w:val="0"/>
        <w:strike w:val="0"/>
        <w:color w:val="000000"/>
        <w:u w:val="none"/>
        <w:vertAlign w:val="baseline"/>
      </w:rPr>
    </w:lvl>
    <w:lvl w:ilvl="6">
      <w:start w:val="1"/>
      <w:numFmt w:val="decimal"/>
      <w:lvlText w:val="(%7)"/>
      <w:lvlJc w:val="left"/>
      <w:pPr>
        <w:ind w:left="0" w:firstLine="4320"/>
      </w:pPr>
      <w:rPr>
        <w:b w:val="0"/>
        <w:bCs w:val="0"/>
        <w:i w:val="0"/>
        <w:iCs w:val="0"/>
        <w:smallCaps w:val="0"/>
        <w:strike w:val="0"/>
        <w:color w:val="000000"/>
        <w:u w:val="none"/>
        <w:vertAlign w:val="baseline"/>
      </w:rPr>
    </w:lvl>
    <w:lvl w:ilvl="7">
      <w:start w:val="1"/>
      <w:numFmt w:val="lowerRoman"/>
      <w:lvlText w:val="%8)"/>
      <w:lvlJc w:val="left"/>
      <w:pPr>
        <w:ind w:left="0" w:firstLine="5040"/>
      </w:pPr>
      <w:rPr>
        <w:b w:val="0"/>
        <w:bCs w:val="0"/>
        <w:i w:val="0"/>
        <w:iCs w:val="0"/>
        <w:smallCaps w:val="0"/>
        <w:strike w:val="0"/>
        <w:color w:val="000000"/>
        <w:u w:val="none"/>
        <w:vertAlign w:val="baseline"/>
      </w:rPr>
    </w:lvl>
    <w:lvl w:ilvl="8">
      <w:start w:val="1"/>
      <w:numFmt w:val="lowerLetter"/>
      <w:lvlText w:val="%9)"/>
      <w:lvlJc w:val="left"/>
      <w:pPr>
        <w:ind w:left="0" w:firstLine="5760"/>
      </w:pPr>
      <w:rPr>
        <w:b w:val="0"/>
        <w:bCs w:val="0"/>
        <w:i w:val="0"/>
        <w:iCs w:val="0"/>
        <w:smallCaps w:val="0"/>
        <w:strike w:val="0"/>
        <w:color w:val="000000"/>
        <w:u w:val="none"/>
        <w:vertAlign w:val="baseli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0" w:firstLine="0"/>
      </w:pPr>
      <w:rPr>
        <w:b w:val="1"/>
        <w:bCs w:val="1"/>
        <w:i w:val="0"/>
        <w:iCs w:val="0"/>
        <w:smallCaps w:val="0"/>
        <w:strike w:val="0"/>
        <w:color w:val="000000"/>
        <w:u w:val="none"/>
        <w:vertAlign w:val="baseline"/>
      </w:rPr>
    </w:lvl>
    <w:lvl w:ilvl="1">
      <w:start w:val="1"/>
      <w:numFmt w:val="upperLetter"/>
      <w:lvlText w:val="%2."/>
      <w:lvlJc w:val="left"/>
      <w:pPr>
        <w:ind w:left="0" w:firstLine="720"/>
      </w:pPr>
      <w:rPr>
        <w:b w:val="0"/>
        <w:bCs w:val="0"/>
        <w:i w:val="0"/>
        <w:iCs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bCs w:val="0"/>
        <w:i w:val="0"/>
        <w:iCs w:val="0"/>
        <w:smallCaps w:val="0"/>
        <w:strike w:val="0"/>
        <w:color w:val="000000"/>
        <w:u w:val="none"/>
        <w:vertAlign w:val="baseline"/>
      </w:rPr>
    </w:lvl>
    <w:lvl w:ilvl="3">
      <w:start w:val="1"/>
      <w:numFmt w:val="bullet"/>
      <w:lvlText w:val="o"/>
      <w:lvlJc w:val="left"/>
      <w:pPr>
        <w:ind w:left="0" w:firstLine="2160"/>
      </w:pPr>
      <w:rPr>
        <w:rFonts w:ascii="Courier New" w:cs="Courier New" w:eastAsia="Courier New" w:hAnsi="Courier New"/>
        <w:b w:val="0"/>
        <w:bCs w:val="0"/>
        <w:i w:val="0"/>
        <w:iCs w:val="0"/>
        <w:smallCaps w:val="0"/>
        <w:strike w:val="0"/>
        <w:color w:val="000000"/>
        <w:u w:val="none"/>
        <w:vertAlign w:val="baseline"/>
      </w:rPr>
    </w:lvl>
    <w:lvl w:ilvl="4">
      <w:start w:val="1"/>
      <w:numFmt w:val="lowerRoman"/>
      <w:lvlText w:val="(%5)"/>
      <w:lvlJc w:val="left"/>
      <w:pPr>
        <w:ind w:left="0" w:firstLine="2880"/>
      </w:pPr>
      <w:rPr>
        <w:b w:val="0"/>
        <w:bCs w:val="0"/>
        <w:i w:val="0"/>
        <w:iCs w:val="0"/>
        <w:smallCaps w:val="0"/>
        <w:strike w:val="0"/>
        <w:color w:val="000000"/>
        <w:u w:val="none"/>
        <w:vertAlign w:val="baseline"/>
      </w:rPr>
    </w:lvl>
    <w:lvl w:ilvl="5">
      <w:start w:val="1"/>
      <w:numFmt w:val="lowerLetter"/>
      <w:lvlText w:val="(%6)"/>
      <w:lvlJc w:val="left"/>
      <w:pPr>
        <w:ind w:left="0" w:firstLine="3600"/>
      </w:pPr>
      <w:rPr>
        <w:b w:val="0"/>
        <w:bCs w:val="0"/>
        <w:i w:val="0"/>
        <w:iCs w:val="0"/>
        <w:smallCaps w:val="0"/>
        <w:strike w:val="0"/>
        <w:color w:val="000000"/>
        <w:u w:val="none"/>
        <w:vertAlign w:val="baseline"/>
      </w:rPr>
    </w:lvl>
    <w:lvl w:ilvl="6">
      <w:start w:val="1"/>
      <w:numFmt w:val="decimal"/>
      <w:lvlText w:val="(%7)"/>
      <w:lvlJc w:val="left"/>
      <w:pPr>
        <w:ind w:left="0" w:firstLine="4320"/>
      </w:pPr>
      <w:rPr>
        <w:b w:val="0"/>
        <w:bCs w:val="0"/>
        <w:i w:val="0"/>
        <w:iCs w:val="0"/>
        <w:smallCaps w:val="0"/>
        <w:strike w:val="0"/>
        <w:color w:val="000000"/>
        <w:u w:val="none"/>
        <w:vertAlign w:val="baseline"/>
      </w:rPr>
    </w:lvl>
    <w:lvl w:ilvl="7">
      <w:start w:val="1"/>
      <w:numFmt w:val="lowerRoman"/>
      <w:lvlText w:val="%8)"/>
      <w:lvlJc w:val="left"/>
      <w:pPr>
        <w:ind w:left="0" w:firstLine="5040"/>
      </w:pPr>
      <w:rPr>
        <w:b w:val="0"/>
        <w:bCs w:val="0"/>
        <w:i w:val="0"/>
        <w:iCs w:val="0"/>
        <w:smallCaps w:val="0"/>
        <w:strike w:val="0"/>
        <w:color w:val="000000"/>
        <w:u w:val="none"/>
        <w:vertAlign w:val="baseline"/>
      </w:rPr>
    </w:lvl>
    <w:lvl w:ilvl="8">
      <w:start w:val="1"/>
      <w:numFmt w:val="lowerLetter"/>
      <w:lvlText w:val="%9)"/>
      <w:lvlJc w:val="left"/>
      <w:pPr>
        <w:ind w:left="0" w:firstLine="5760"/>
      </w:pPr>
      <w:rPr>
        <w:b w:val="0"/>
        <w:bCs w:val="0"/>
        <w:i w:val="0"/>
        <w:iCs w:val="0"/>
        <w:smallCaps w:val="0"/>
        <w:strike w:val="0"/>
        <w:color w:val="000000"/>
        <w:u w:val="none"/>
        <w:vertAlign w:val="baseline"/>
      </w:rPr>
    </w:lvl>
  </w:abstractNum>
  <w:abstractNum w:abstractNumId="4">
    <w:lvl w:ilvl="0">
      <w:start w:val="1"/>
      <w:numFmt w:val="upperRoman"/>
      <w:lvlText w:val="%1."/>
      <w:lvlJc w:val="left"/>
      <w:pPr>
        <w:ind w:left="0" w:firstLine="0"/>
      </w:pPr>
      <w:rPr>
        <w:b w:val="1"/>
        <w:bCs w:val="1"/>
        <w:i w:val="0"/>
        <w:iCs w:val="0"/>
        <w:smallCaps w:val="0"/>
        <w:strike w:val="0"/>
        <w:color w:val="000000"/>
        <w:u w:val="none"/>
        <w:vertAlign w:val="baseline"/>
      </w:rPr>
    </w:lvl>
    <w:lvl w:ilvl="1">
      <w:start w:val="1"/>
      <w:numFmt w:val="upperLetter"/>
      <w:lvlText w:val="%2."/>
      <w:lvlJc w:val="left"/>
      <w:pPr>
        <w:ind w:left="0" w:firstLine="720"/>
      </w:pPr>
      <w:rPr>
        <w:b w:val="0"/>
        <w:bCs w:val="0"/>
        <w:i w:val="0"/>
        <w:iCs w:val="0"/>
        <w:smallCaps w:val="0"/>
        <w:strike w:val="0"/>
        <w:color w:val="000000"/>
        <w:u w:val="none"/>
        <w:vertAlign w:val="baseline"/>
      </w:rPr>
    </w:lvl>
    <w:lvl w:ilvl="2">
      <w:start w:val="1"/>
      <w:numFmt w:val="decimal"/>
      <w:lvlText w:val="%3."/>
      <w:lvlJc w:val="left"/>
      <w:pPr>
        <w:ind w:left="2160" w:hanging="720"/>
      </w:pPr>
      <w:rPr>
        <w:b w:val="0"/>
        <w:bCs w:val="0"/>
        <w:i w:val="0"/>
        <w:iCs w:val="0"/>
        <w:smallCaps w:val="0"/>
        <w:strike w:val="0"/>
        <w:color w:val="000000"/>
        <w:u w:val="none"/>
        <w:vertAlign w:val="baseline"/>
      </w:rPr>
    </w:lvl>
    <w:lvl w:ilvl="3">
      <w:start w:val="1"/>
      <w:numFmt w:val="lowerLetter"/>
      <w:lvlText w:val="%4."/>
      <w:lvlJc w:val="left"/>
      <w:pPr>
        <w:ind w:left="0" w:firstLine="2160"/>
      </w:pPr>
      <w:rPr>
        <w:b w:val="1"/>
        <w:bCs w:val="1"/>
        <w:i w:val="0"/>
        <w:iCs w:val="0"/>
        <w:smallCaps w:val="0"/>
        <w:strike w:val="0"/>
        <w:color w:val="000000"/>
        <w:u w:val="none"/>
        <w:vertAlign w:val="baseline"/>
      </w:rPr>
    </w:lvl>
    <w:lvl w:ilvl="4">
      <w:start w:val="1"/>
      <w:numFmt w:val="lowerRoman"/>
      <w:lvlText w:val="(%5)"/>
      <w:lvlJc w:val="left"/>
      <w:pPr>
        <w:ind w:left="0" w:firstLine="2880"/>
      </w:pPr>
      <w:rPr>
        <w:b w:val="0"/>
        <w:bCs w:val="0"/>
        <w:i w:val="0"/>
        <w:iCs w:val="0"/>
        <w:smallCaps w:val="0"/>
        <w:strike w:val="0"/>
        <w:color w:val="000000"/>
        <w:u w:val="none"/>
        <w:vertAlign w:val="baseline"/>
      </w:rPr>
    </w:lvl>
    <w:lvl w:ilvl="5">
      <w:start w:val="1"/>
      <w:numFmt w:val="lowerLetter"/>
      <w:lvlText w:val="(%6)"/>
      <w:lvlJc w:val="left"/>
      <w:pPr>
        <w:ind w:left="0" w:firstLine="3600"/>
      </w:pPr>
      <w:rPr>
        <w:b w:val="0"/>
        <w:bCs w:val="0"/>
        <w:i w:val="0"/>
        <w:iCs w:val="0"/>
        <w:smallCaps w:val="0"/>
        <w:strike w:val="0"/>
        <w:color w:val="000000"/>
        <w:u w:val="none"/>
        <w:vertAlign w:val="baseline"/>
      </w:rPr>
    </w:lvl>
    <w:lvl w:ilvl="6">
      <w:start w:val="1"/>
      <w:numFmt w:val="decimal"/>
      <w:lvlText w:val="(%7)"/>
      <w:lvlJc w:val="left"/>
      <w:pPr>
        <w:ind w:left="0" w:firstLine="4320"/>
      </w:pPr>
      <w:rPr>
        <w:b w:val="0"/>
        <w:bCs w:val="0"/>
        <w:i w:val="0"/>
        <w:iCs w:val="0"/>
        <w:smallCaps w:val="0"/>
        <w:strike w:val="0"/>
        <w:color w:val="000000"/>
        <w:u w:val="none"/>
        <w:vertAlign w:val="baseline"/>
      </w:rPr>
    </w:lvl>
    <w:lvl w:ilvl="7">
      <w:start w:val="1"/>
      <w:numFmt w:val="lowerRoman"/>
      <w:lvlText w:val="%8)"/>
      <w:lvlJc w:val="left"/>
      <w:pPr>
        <w:ind w:left="0" w:firstLine="5040"/>
      </w:pPr>
      <w:rPr>
        <w:b w:val="0"/>
        <w:bCs w:val="0"/>
        <w:i w:val="0"/>
        <w:iCs w:val="0"/>
        <w:smallCaps w:val="0"/>
        <w:strike w:val="0"/>
        <w:color w:val="000000"/>
        <w:u w:val="none"/>
        <w:vertAlign w:val="baseline"/>
      </w:rPr>
    </w:lvl>
    <w:lvl w:ilvl="8">
      <w:start w:val="1"/>
      <w:numFmt w:val="lowerLetter"/>
      <w:lvlText w:val="%9)"/>
      <w:lvlJc w:val="left"/>
      <w:pPr>
        <w:ind w:left="0" w:firstLine="5760"/>
      </w:pPr>
      <w:rPr>
        <w:b w:val="0"/>
        <w:bCs w:val="0"/>
        <w:i w:val="0"/>
        <w:iCs w:val="0"/>
        <w:smallCaps w:val="0"/>
        <w:strike w:val="0"/>
        <w:color w:val="000000"/>
        <w:u w:val="none"/>
        <w:vertAlign w:val="baseline"/>
      </w:rPr>
    </w:lvl>
  </w:abstractNum>
  <w:abstractNum w:abstractNumId="5">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left"/>
      <w:pPr>
        <w:ind w:left="0" w:firstLine="0"/>
      </w:pPr>
      <w:rPr>
        <w:b w:val="1"/>
        <w:bCs w:val="1"/>
        <w:i w:val="0"/>
        <w:iCs w:val="0"/>
        <w:smallCaps w:val="0"/>
        <w:strike w:val="0"/>
        <w:color w:val="000000"/>
        <w:u w:val="none"/>
        <w:vertAlign w:val="baseline"/>
      </w:rPr>
    </w:lvl>
    <w:lvl w:ilvl="1">
      <w:start w:val="1"/>
      <w:numFmt w:val="upperLetter"/>
      <w:lvlText w:val="%2."/>
      <w:lvlJc w:val="left"/>
      <w:pPr>
        <w:ind w:left="0" w:firstLine="720"/>
      </w:pPr>
      <w:rPr>
        <w:b w:val="0"/>
        <w:bCs w:val="0"/>
        <w:i w:val="0"/>
        <w:iCs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bCs w:val="0"/>
        <w:i w:val="0"/>
        <w:iCs w:val="0"/>
        <w:smallCaps w:val="0"/>
        <w:strike w:val="0"/>
        <w:color w:val="000000"/>
        <w:u w:val="none"/>
        <w:vertAlign w:val="baseline"/>
      </w:rPr>
    </w:lvl>
    <w:lvl w:ilvl="3">
      <w:start w:val="1"/>
      <w:numFmt w:val="lowerLetter"/>
      <w:lvlText w:val="%4."/>
      <w:lvlJc w:val="left"/>
      <w:pPr>
        <w:ind w:left="0" w:firstLine="2160"/>
      </w:pPr>
      <w:rPr>
        <w:b w:val="1"/>
        <w:bCs w:val="1"/>
        <w:i w:val="0"/>
        <w:iCs w:val="0"/>
        <w:smallCaps w:val="0"/>
        <w:strike w:val="0"/>
        <w:color w:val="000000"/>
        <w:u w:val="none"/>
        <w:vertAlign w:val="baseline"/>
      </w:rPr>
    </w:lvl>
    <w:lvl w:ilvl="4">
      <w:start w:val="1"/>
      <w:numFmt w:val="lowerRoman"/>
      <w:lvlText w:val="(%5)"/>
      <w:lvlJc w:val="left"/>
      <w:pPr>
        <w:ind w:left="0" w:firstLine="2880"/>
      </w:pPr>
      <w:rPr>
        <w:b w:val="0"/>
        <w:bCs w:val="0"/>
        <w:i w:val="0"/>
        <w:iCs w:val="0"/>
        <w:smallCaps w:val="0"/>
        <w:strike w:val="0"/>
        <w:color w:val="000000"/>
        <w:u w:val="none"/>
        <w:vertAlign w:val="baseline"/>
      </w:rPr>
    </w:lvl>
    <w:lvl w:ilvl="5">
      <w:start w:val="1"/>
      <w:numFmt w:val="lowerLetter"/>
      <w:lvlText w:val="(%6)"/>
      <w:lvlJc w:val="left"/>
      <w:pPr>
        <w:ind w:left="0" w:firstLine="3600"/>
      </w:pPr>
      <w:rPr>
        <w:b w:val="0"/>
        <w:bCs w:val="0"/>
        <w:i w:val="0"/>
        <w:iCs w:val="0"/>
        <w:smallCaps w:val="0"/>
        <w:strike w:val="0"/>
        <w:color w:val="000000"/>
        <w:u w:val="none"/>
        <w:vertAlign w:val="baseline"/>
      </w:rPr>
    </w:lvl>
    <w:lvl w:ilvl="6">
      <w:start w:val="1"/>
      <w:numFmt w:val="decimal"/>
      <w:lvlText w:val="(%7)"/>
      <w:lvlJc w:val="left"/>
      <w:pPr>
        <w:ind w:left="0" w:firstLine="4320"/>
      </w:pPr>
      <w:rPr>
        <w:b w:val="0"/>
        <w:bCs w:val="0"/>
        <w:i w:val="0"/>
        <w:iCs w:val="0"/>
        <w:smallCaps w:val="0"/>
        <w:strike w:val="0"/>
        <w:color w:val="000000"/>
        <w:u w:val="none"/>
        <w:vertAlign w:val="baseline"/>
      </w:rPr>
    </w:lvl>
    <w:lvl w:ilvl="7">
      <w:start w:val="1"/>
      <w:numFmt w:val="lowerRoman"/>
      <w:lvlText w:val="%8)"/>
      <w:lvlJc w:val="left"/>
      <w:pPr>
        <w:ind w:left="0" w:firstLine="5040"/>
      </w:pPr>
      <w:rPr>
        <w:b w:val="0"/>
        <w:bCs w:val="0"/>
        <w:i w:val="0"/>
        <w:iCs w:val="0"/>
        <w:smallCaps w:val="0"/>
        <w:strike w:val="0"/>
        <w:color w:val="000000"/>
        <w:u w:val="none"/>
        <w:vertAlign w:val="baseline"/>
      </w:rPr>
    </w:lvl>
    <w:lvl w:ilvl="8">
      <w:start w:val="1"/>
      <w:numFmt w:val="lowerLetter"/>
      <w:lvlText w:val="%9)"/>
      <w:lvlJc w:val="left"/>
      <w:pPr>
        <w:ind w:left="0" w:firstLine="5760"/>
      </w:pPr>
      <w:rPr>
        <w:b w:val="0"/>
        <w:bCs w:val="0"/>
        <w:i w:val="0"/>
        <w:iCs w:val="0"/>
        <w:smallCaps w:val="0"/>
        <w:strike w:val="0"/>
        <w:color w:val="000000"/>
        <w:u w:val="none"/>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New Roman" w:cs="Times New Roman" w:eastAsia="Times New Roman" w:hAnsi="Times New Roman"/>
      <w:b w:val="1"/>
      <w:bCs w:val="1"/>
      <w:smallCaps w:val="1"/>
    </w:rPr>
  </w:style>
  <w:style w:type="paragraph" w:styleId="Subtitle">
    <w:name w:val="Subtitle"/>
    <w:basedOn w:val="Normal"/>
    <w:next w:val="Normal"/>
    <w:pPr>
      <w:spacing w:after="480" w:lineRule="auto"/>
      <w:jc w:val="center"/>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healthit.gov/providers-professionals/security-risk-assessment-too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