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al-gaps-actionable-subset"/>
    <w:p>
      <w:pPr>
        <w:pStyle w:val="Heading1"/>
      </w:pPr>
      <w:r>
        <w:t xml:space="preserve">Real Gaps — Actionable Subset</w:t>
      </w:r>
    </w:p>
    <w:p>
      <w:pPr>
        <w:pStyle w:val="FirstParagraph"/>
      </w:pPr>
      <w:r>
        <w:t xml:space="preserve">Eight sections have genuine gaps after the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 All eight collapse into short clauses appended to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t xml:space="preserve">files — no new policy documents required. One is evidence-only and needs an attachment rather than a policy edit.</w:t>
      </w:r>
    </w:p>
    <w:p>
      <w:pPr>
        <w:pStyle w:val="BodyText"/>
      </w:pPr>
      <w:r>
        <w:t xml:space="preserve">Gaps 1–4 surfaced in the initial section-level pass. Gaps 5–9 surfaced in the row-level verification that followed (the section pass was too coarse and hid these inside sections it called</w:t>
      </w:r>
      <w:r>
        <w:t xml:space="preserve"> </w:t>
      </w:r>
      <w:r>
        <w:t xml:space="preserve">“No Gap”</w:t>
      </w:r>
      <w:r>
        <w:t xml:space="preserve"> </w:t>
      </w:r>
      <w:r>
        <w:t xml:space="preserve">— notably the C-SCRM gap inside SIG S).</w:t>
      </w:r>
    </w:p>
    <w:p>
      <w:r>
        <w:pict>
          <v:rect style="width:0;height:1.5pt" o:hralign="center" o:hrstd="t" o:hr="t"/>
        </w:pict>
      </w:r>
    </w:p>
    <w:bookmarkStart w:id="10" w:name="X3825546a2381814da5664bd1c1dcb831ccf9942"/>
    <w:p>
      <w:pPr>
        <w:pStyle w:val="Heading2"/>
      </w:pPr>
      <w:r>
        <w:t xml:space="preserve">Gap 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ISD IT Risk Assessment / Additional Cybersecurity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50, 51, 55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Stance on AV / security exclusions, vuln-scan exclusions, and whether the third-party adopts DMARC.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Nothing. No active original addresses DMARC / SPF / DKIM or anti-malware exclusion handling.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Millie uses Google Workspace’s built-in anti-malware (no custom exclusions); transactional email is sent via SendGrid with SPF, DKIM, and DMARC configured at policy = quarantine or reject; vulnerability scanning is performed against in-scope hosted services (Aptible / AWS) with no application-side exclusions, and any one-off operational exclusion requires Chief Security Officer approval.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Framework.md</w:t>
      </w:r>
      <w:r>
        <w:t xml:space="preserve"> </w:t>
      </w:r>
      <w:r>
        <w:t xml:space="preserve">— append to §6 Data Transmission &amp; Sharing.</w:t>
      </w:r>
    </w:p>
    <w:p>
      <w:r>
        <w:pict>
          <v:rect style="width:0;height:1.5pt" o:hralign="center" o:hrstd="t" o:hr="t"/>
        </w:pict>
      </w:r>
    </w:p>
    <w:bookmarkEnd w:id="10"/>
    <w:bookmarkStart w:id="11" w:name="gap-2-byod-mobile-device-management"/>
    <w:p>
      <w:pPr>
        <w:pStyle w:val="Heading2"/>
      </w:pPr>
      <w:r>
        <w:t xml:space="preserve">Gap 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M. Endpoint 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132 (M.1.3), 133 (M.1.5), 134 (M.1.6) — all flagged</w:t>
      </w:r>
      <w:r>
        <w:t xml:space="preserve"> </w:t>
      </w:r>
      <w:r>
        <w:t xml:space="preserve">“FOLLOW UP”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documented MDM program; a stance on non-company devices touching the network; a stance on BYOD with scoped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Workstation Use Policy</w:t>
      </w:r>
      <w:r>
        <w:t xml:space="preserve"> </w:t>
      </w:r>
      <w:r>
        <w:t xml:space="preserve">references mobile phones / iPads and locking timeouts, and</w:t>
      </w:r>
      <w:r>
        <w:t xml:space="preserve"> </w:t>
      </w:r>
      <w:r>
        <w:rPr>
          <w:rStyle w:val="VerbatimChar"/>
        </w:rPr>
        <w:t xml:space="preserve">Remote Access Policy</w:t>
      </w:r>
      <w:r>
        <w:t xml:space="preserve"> </w:t>
      </w:r>
      <w:r>
        <w:t xml:space="preserve">covers Users on personal devices, but no BYOD / MDM stance is documented.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BYOD is permitted for email, Slack, and approved SaaS only — no PHI may be stored locally on personal devices. Company-issued devices and personal devices that access PHI must be enrolled in Millie’s MDM (vendor selection pending; tracked operationally), require device passcode + auto-lock + disk encryption + remote-wipe capability, and may be remotely wiped on termination or loss. Non-managed personal devices are restricted to web-based SaaS via SSO / MFA and may not store PHI.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03w HIPAA - Workstation Use Policy.md</w:t>
      </w:r>
      <w:r>
        <w:t xml:space="preserve"> </w:t>
      </w:r>
      <w:r>
        <w:t xml:space="preserve">— append as new procedure section</w:t>
      </w:r>
      <w:r>
        <w:t xml:space="preserve"> </w:t>
      </w:r>
      <w:r>
        <w:t xml:space="preserve">“BYOD &amp; Mobile Device Management.”</w:t>
      </w:r>
    </w:p>
    <w:p>
      <w:r>
        <w:pict>
          <v:rect style="width:0;height:1.5pt" o:hralign="center" o:hrstd="t" o:hr="t"/>
        </w:pict>
      </w:r>
    </w:p>
    <w:bookmarkEnd w:id="11"/>
    <w:bookmarkStart w:id="12" w:name="X9e595cefb789ca6337e2b790d1586d477001c57"/>
    <w:p>
      <w:pPr>
        <w:pStyle w:val="Heading2"/>
      </w:pPr>
      <w:r>
        <w:t xml:space="preserve">Gap 3 — Pandemic Operations &amp; Multi-Vendor Resiliency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119 (K.4 — answered NO), 124 (K.30 — answered NO)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pandemic / infectious-disease outbreak plan, and a resiliency strategy with multi-vendor risk mitigation.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Clinic COVID Policy.md</w:t>
      </w:r>
      <w:r>
        <w:t xml:space="preserve"> </w:t>
      </w:r>
      <w:r>
        <w:t xml:space="preserve">covers patient-facing isolation / exposure logic but is silent on staff-facing operational continuity.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covers data backup, IT contingency, and disaster recovery but not pandemic operations or single-vendor concentration risk.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For pandemic / infectious-disease events, Millie’s COVID Policy (or its successor) governs patient interactions; clinical operations may shift to telehealth-first scheduling, on-site staffing reduces to essential personnel, and PPE protocols follow current CDPH / CDC guidance. Millie operates a cloud-first stack with single-vendor dependencies on Aptible (compute / databases), AWS (storage / logging), Cloudflare (DNS / CDN), and Google Workspace (collaboration); this concentration is a documented accepted risk reviewed annually by the Chief Security Officer, with exit considerations (data portability, vendor lock-in) factored into the BAA review for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as new section</w:t>
      </w:r>
      <w:r>
        <w:t xml:space="preserve"> </w:t>
      </w:r>
      <w:r>
        <w:t xml:space="preserve">“Pandemic Operations &amp; Multi-Vendor Risk.”</w:t>
      </w:r>
    </w:p>
    <w:p>
      <w:r>
        <w:pict>
          <v:rect style="width:0;height:1.5pt" o:hralign="center" o:hrstd="t" o:hr="t"/>
        </w:pict>
      </w:r>
    </w:p>
    <w:bookmarkEnd w:id="12"/>
    <w:bookmarkStart w:id="13" w:name="X78d3a1167efe03d1f37268024bdd6a1460b1ac3"/>
    <w:p>
      <w:pPr>
        <w:pStyle w:val="Heading2"/>
      </w:pPr>
      <w:r>
        <w:t xml:space="preserve">Gap 4 — Insurance Certificate + Audit Attestations (Evidence, not Policy)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Insurances + Security Audits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181, 182, 183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Attached documents — cyber-liability certificate; pentest report; general security audit (SOC 2 / HITRUST /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§III(h) commits to obtaining cyber-liability insurance but does not substitute for the certificate.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rPr>
          <w:b/>
          <w:bCs/>
        </w:rPr>
        <w:t xml:space="preserve">No policy change.</w:t>
      </w:r>
      <w:r>
        <w:t xml:space="preserve"> </w:t>
      </w:r>
      <w:r>
        <w:t xml:space="preserve">Attach the actual cyber-liability certificate to the ECH submission package. For pentest + general audit: either commission a third-party pentest (recommended for credibility) or answer truthfully</w:t>
      </w:r>
      <w:r>
        <w:t xml:space="preserve"> </w:t>
      </w:r>
      <w:r>
        <w:t xml:space="preserve">“none currently on file; will share when commissioned.”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t xml:space="preserve">N/A — submission package, not policy text.</w:t>
      </w:r>
    </w:p>
    <w:p>
      <w:r>
        <w:pict>
          <v:rect style="width:0;height:1.5pt" o:hralign="center" o:hrstd="t" o:hr="t"/>
        </w:pict>
      </w:r>
    </w:p>
    <w:bookmarkEnd w:id="13"/>
    <w:bookmarkStart w:id="14" w:name="gap-5-dr-exercise-testing-cadence"/>
    <w:p>
      <w:pPr>
        <w:pStyle w:val="Heading2"/>
      </w:pPr>
      <w:r>
        <w:t xml:space="preserve">Gap 5 — DR Exercise / Testing Cadence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 / tested, with cadence and documentation.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§III(b)–(d) describes backups, the DR plan, and third-party coordination, but is silent on</w:t>
      </w:r>
      <w:r>
        <w:t xml:space="preserve"> </w:t>
      </w:r>
      <w:r>
        <w:rPr>
          <w:b/>
          <w:bCs/>
        </w:rPr>
        <w:t xml:space="preserve">exercising</w:t>
      </w:r>
      <w:r>
        <w:t xml:space="preserve"> </w:t>
      </w:r>
      <w:r>
        <w:t xml:space="preserve">the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One sentence: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  <w:r>
        <w:t xml:space="preserve"> </w:t>
      </w:r>
      <w:r>
        <w:t xml:space="preserve">— append to §III(d) Other Protective Measures.</w:t>
      </w:r>
    </w:p>
    <w:p>
      <w:r>
        <w:pict>
          <v:rect style="width:0;height:1.5pt" o:hralign="center" o:hrstd="t" o:hr="t"/>
        </w:pict>
      </w:r>
    </w:p>
    <w:bookmarkEnd w:id="14"/>
    <w:bookmarkStart w:id="15" w:name="gap-6-change-management"/>
    <w:p>
      <w:pPr>
        <w:pStyle w:val="Heading2"/>
      </w:pPr>
      <w:r>
        <w:t xml:space="preserve">Gap 6 — Change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never names a change-control program.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p>
      <w:r>
        <w:pict>
          <v:rect style="width:0;height:1.5pt" o:hralign="center" o:hrstd="t" o:hr="t"/>
        </w:pict>
      </w:r>
    </w:p>
    <w:bookmarkEnd w:id="15"/>
    <w:bookmarkStart w:id="16" w:name="X7d3ba3698d0bc3cc20fcd273d1ddf0778409f6c"/>
    <w:p>
      <w:pPr>
        <w:pStyle w:val="Heading2"/>
      </w:pPr>
      <w:r>
        <w:t xml:space="preserve">Gap 7 — C-SCRM Framing (one paragraph closes S.32 + S.57 + S.61 + S.80 + 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 (SCRM)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 (S.32), 177 (S.57), 178 (S.61), 179 (S.80), 180 (S.100)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</w:t>
      </w:r>
      <w:r>
        <w:t xml:space="preserve"> </w:t>
      </w:r>
      <w:r>
        <w:rPr>
          <w:b/>
          <w:bCs/>
        </w:rPr>
        <w:t xml:space="preserve">Cybersecurity Supply Chain Risk Management</w:t>
      </w:r>
      <w:r>
        <w:t xml:space="preserve"> </w:t>
      </w:r>
      <w:r>
        <w:t xml:space="preserve">— strategy, objectives, supplier adoption, contingency planning, named owner, integration with security planning, and system / communications protection across the supply chain.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§11 covers third-party / vendor risk management with BAA flow-down — that’s a substantive answer to S.1 (sub-tier flow-down), but it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 Without the C-SCRM framing, an assessor running a SIG checklist will not find S.32 / S.57 / S.61 / S.80 / S.100 even though the underlying controls are largely in place.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Cybersecurity Supply Chain Risk Management (C-SCRM) program, with the Chief Security Officer (in coordination with the Chief Privacy Officer and Legal) as the named owner. (2) C-SCRM objectives are reviewed annually alongside the security risk assessment, and supplier-related cybersecurity controls — encryption in transit, access management, and incident notification — are required of subcontractors and subprocessors via BAA flow-down. (3) Vendor-furnished or vendor-returned physical media is addressed during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p>
      <w:r>
        <w:pict>
          <v:rect style="width:0;height:1.5pt" o:hralign="center" o:hrstd="t" o:hr="t"/>
        </w:pict>
      </w:r>
    </w:p>
    <w:bookmarkEnd w:id="16"/>
    <w:bookmarkStart w:id="17" w:name="X4204c03a4493f7e845b5152ec782d67dd36b300"/>
    <w:p>
      <w:pPr>
        <w:pStyle w:val="Heading2"/>
      </w:pPr>
      <w:r>
        <w:t xml:space="preserve">Gap 8 — Proactive Log Review + Patch SLA + Tamper-Resistant Incident Log (J.5 + A06 + 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(OWASP A06 — flagged Remediate), 113 (J.5), 115 (J.14)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 / event review; assurance the incident log is tamper-resistant; a stated vuln-scanning cadence and patching SLA.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documented. Proactive review is described as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(Framework §7), vuln scanning has no cadence or SLA stated anywhere, and the incident log is described as a Log but not as tamper-resistant.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add (three small edits):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§7</w:t>
      </w:r>
      <w:r>
        <w:t xml:space="preserve"> </w:t>
      </w:r>
      <w:r>
        <w:t xml:space="preserve">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with:</w:t>
      </w:r>
      <w:r>
        <w:t xml:space="preserve"> </w:t>
      </w:r>
      <w:r>
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§6</w:t>
      </w:r>
      <w:r>
        <w:t xml:space="preserve"> </w:t>
      </w:r>
      <w:r>
        <w:t xml:space="preserve">— append:</w:t>
      </w:r>
      <w:r>
        <w:t xml:space="preserve"> </w:t>
      </w:r>
      <w:r>
        <w:t xml:space="preserve">“Dependency vulnerabilities are surfaced via GitHub Dependabot and triaged at least weekly; Critical / High findings are remediated within 30 days, Medium within 90 days, subject to the risk-management exception process.”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Security Incident Management §III(c)</w:t>
      </w:r>
      <w:r>
        <w:t xml:space="preserve"> </w:t>
      </w:r>
      <w:r>
        <w:t xml:space="preserve">— append to the Log paragraph:</w:t>
      </w:r>
      <w:r>
        <w:t xml:space="preserve"> </w:t>
      </w:r>
      <w:r>
        <w:t xml:space="preserve">“The incident log is maintained in a restricted-access Company system, edits are auditable, and the log is retained for at least 6 years consistent with HIPAA documentation requirements.”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§6 and §7;</w:t>
      </w:r>
      <w:r>
        <w:t xml:space="preserve"> </w:t>
      </w:r>
      <w:r>
        <w:rPr>
          <w:rStyle w:val="VerbatimChar"/>
        </w:rPr>
        <w:t xml:space="preserve">03s HIPAA - Security Incident Management Policy (2).md</w:t>
      </w:r>
      <w:r>
        <w:t xml:space="preserve"> </w:t>
      </w:r>
      <w:r>
        <w:t xml:space="preserve">§III(c).</w:t>
      </w:r>
    </w:p>
    <w:p>
      <w:r>
        <w:pict>
          <v:rect style="width:0;height:1.5pt" o:hralign="center" o:hrstd="t" o:hr="t"/>
        </w:pict>
      </w:r>
    </w:p>
    <w:bookmarkEnd w:id="17"/>
    <w:bookmarkStart w:id="18" w:name="X680466205fb1a8ba5468faa6ce07c343b2bd2c0"/>
    <w:p>
      <w:pPr>
        <w:pStyle w:val="Heading2"/>
      </w:pPr>
      <w:r>
        <w:t xml:space="preserve">Gap 9 — Password Storage + Session / Token Protection (OWASP A02 + A07)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 — flagged Remediate), 78 (A07 — flagged Remediate)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covers user password hygiene (length, rotation, lockout) but not server-side credential storage; nothing on session tokens.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 §III: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2026-05-28T15:24:36Z</dcterms:created>
  <dcterms:modified xsi:type="dcterms:W3CDTF">2026-05-28T15:24:36Z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